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Pasaules Pasta savienības Vispārīgā reglamenta Ceturto papildprotokolu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2023. gada 5. oktobrī parakstītais Pasaules Pasta savienības Vispārīgā reglamenta Ceturtais papildprotokols (turpmāk – Vispārīgā reglamenta Ceturtais papildprotokols) ar šo likumu tiek pieņemts un apstiprināts.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Vispārīgā reglamenta Ceturtajā papildprotokolā paredzēto saistību izpildi koordinē Satiksmes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Vispārīgā reglamenta Ceturtais papildprotokols stājas spēkā nākamajā dienā pēc tā izsludināšanas, un Ārlietu ministrija par to paziņo oficiālajā izdevumā "Latvijas Vēstnesis". Līdz ar likumu izsludināms Vispārīgā reglamenta Ceturtais papildprotokols angļu valodā un publicējams tā tulkojums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23-TA-3304</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23-TA-3304</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likumprojekts_23-TA-3304.docx</dc:title>
</cp:coreProperties>
</file>

<file path=docProps/custom.xml><?xml version="1.0" encoding="utf-8"?>
<Properties xmlns="http://schemas.openxmlformats.org/officeDocument/2006/custom-properties" xmlns:vt="http://schemas.openxmlformats.org/officeDocument/2006/docPropsVTypes"/>
</file>