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1.1.1. specifiskā atbalsta mērķa "Pētniecības un inovāciju kapacitātes stiprināšana un progresīvu tehnoloģiju ieviešana kopējā P&amp;A sistēmā" 1.1.1.8. pasākumu "Doktorantūras granti"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saimniecisko darbību nesaistīts projekts – projekts, kas atbilst šādiem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īsteno Latvijas Republikas zinātnisko institūciju reģistrā reģistrēta zinātniskā institūcija, kas atbilst šo noteikumu </w:t>
      </w:r>
      <w:r w:rsidR="00000000" w:rsidRPr="00000000" w:rsidDel="00000000">
        <w:rPr>
          <w:rtl w:val="0"/>
        </w:rPr>
        <w:t xml:space="preserve">2.6.</w:t>
      </w:r>
      <w:r w:rsidR="00000000" w:rsidRPr="00000000" w:rsidDel="00000000">
        <w:rPr>
          <w:rtl w:val="0"/>
        </w:rPr>
        <w:t xml:space="preserve"> apakšpunktā</w:t>
      </w:r>
      <w:r w:rsidR="00000000" w:rsidRPr="00000000" w:rsidDel="00000000">
        <w:rPr>
          <w:rtl w:val="0"/>
        </w:rPr>
        <w:t xml:space="preserve"> minētajai pētniecības organizācijas definīcijai;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īsteno darbības, kurām nav saimnieciska rakstura, atbilstoši šo noteikumu </w:t>
      </w:r>
      <w:r w:rsidR="00000000" w:rsidRPr="00000000" w:rsidDel="00000000">
        <w:rPr>
          <w:rtl w:val="0"/>
        </w:rPr>
        <w:t xml:space="preserve">2.2.</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 kurai nav saimnieciska rakstura, – pētniecības organizācijas pamatdarbība, kura neietilpst Līguma par Eiropas Savienības darbību 107. panta 1. punktā noteiktajā darbības jomā un kuras izpausmes veidi ir šādi: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 izglītība, kuras mērķis ir vairot un uzlabot cilvēkresursu prasmes un kas tiek nodrošināta valsts izglītības sistēmas ietvaros un galvenokārt vai pilnībā ir valsts finansēta un uzraudzīta;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neatkarīga pētniecība un izstrāde ar mērķi iegūt vairāk zināšanu un labāku izpratni, tostarp īstenota kopīga pētniecība un izstrāde, pētniecības organizācijai iesaistoties efektīvā sadarbībā;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rezultātu izplatīšana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zinātības un tehnoloģiju pārneses darbības, 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zinātības un tehnoloģiju pārneses darbības veic pētniecības organizācija, pētniecības organizācijas nodaļa vai pētniecības organizācijas meitas uzņēmums (tāda komercsabiedrība, kurā mātes uzņēmuma līdzdalības daļa pārsniedz 50 procentu vai kurā mātes uzņēmumam ir balsu vairākums un kura atbilst šo noteikumu </w:t>
      </w:r>
      <w:r w:rsidR="00000000" w:rsidRPr="00000000" w:rsidDel="00000000">
        <w:rPr>
          <w:rtl w:val="0"/>
        </w:rPr>
        <w:t xml:space="preserve">2.6.</w:t>
      </w:r>
      <w:r w:rsidR="00000000" w:rsidRPr="00000000" w:rsidDel="00000000">
        <w:rPr>
          <w:rtl w:val="0"/>
        </w:rPr>
        <w:t xml:space="preserve"> apakšpunktā</w:t>
      </w:r>
      <w:r w:rsidR="00000000" w:rsidRPr="00000000" w:rsidDel="00000000">
        <w:rPr>
          <w:rtl w:val="0"/>
        </w:rPr>
        <w:t xml:space="preserve"> minētajai pētniecības organizācijas definīcijai), vai pētniecības organizācija kopīgi ar citām pētniecības organizācijām, vai pētniecības organizācija kopīgi ar trešajām pusēm, atklātā konkursā noslēdzot līgumus par noteiktiem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šādām darbībām tiek atkal ieguldīta pētniecības organizācijas pamatdarbībās;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 doktora studiju programmās studējošie un zinātnes doktora grāda pretendenti;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doktorantūras grants – mērķēts konkursa kārtībā iegūstams finansējums doktoranta pētniecības veikšanai, kas saistīta ar doktorantūras studiju procesa, promocijas darba vai doktora teorētiskā pētījuma un mākslinieciskās jaunrades darba sekmīgu izstrādi;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efektīva sadarbība – sadarbība, kas atbilst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90. punktā sniegtajai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organizācija – pētniecības un zināšanu izplatīšanas organizācija, kas atbilst Komisijas regulas Nr.  </w:t>
      </w:r>
      <w:r w:rsidR="00000000" w:rsidRPr="00000000" w:rsidDel="00000000">
        <w:rPr>
          <w:rtl w:val="0"/>
        </w:rPr>
        <w:t xml:space="preserve">651/2014</w:t>
      </w:r>
      <w:r w:rsidR="00000000" w:rsidRPr="00000000" w:rsidDel="00000000">
        <w:rPr>
          <w:rtl w:val="0"/>
        </w:rPr>
        <w:t xml:space="preserve"> 2. panta 83. punktā sniegtajai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sadarbības partneris – zinātniskā institūcija vai cita augstākās izglītības institūcija, kas nodrošina doktoranta iesaisti studiju vai zinātniski pētnieciskajā darbā;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iesniedzēja sadarbības kārtība ar projekta sadarbības partneriem – projekta iesniedzēja iekšējais normatīvais akts, kas nosaka projekta iesniedzējam un projekta sadarbības partneriem vienotu kārtību projekta īstenošanā un kurā iekļauj informāciju saskaņā ar normatīvo aktu par kārtību, kādā Eiropas Savienības fondu vadībā iesaistītās institūcijas nodrošina šo fondu ieviešanu 2021.–2027. gada plānošanas periodā, un atrunā savstarpējo norēķinu veikšanas kārtību un sadarbības kārtību starp projekta iesniedzēja centralizēto struktūrvienību, kas organizē doktora līmeņa studijas, zinātnisko institūciju un citu augstākās izglītības institūciju.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stiprināt tautsaimniecības izaugsmei un transformācijai nepieciešamo pētniecības un attīstības cilvēkkapitāla kapacitāti viedās specializācijas jomās.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doktoranti.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tiek sniegts atbalsts doktorantūras grantu veidā, kas sniedz ieguldījumu Latvijas Viedās specializācijas stratēģijas (turpmāk – RIS3) mērķu sasniegšanā un specializācijas jomu (turpmāk – RIS3 jomas) attīstībā: zināšanu ietilpīga bioekonomika; biomedicīna, medicīnas tehnoloģijas un farmācija; fotonika un viedie materiāli, tehnoloģijas un inženiersistēmas; viedā enerģētika mobilitāte; informācijas un komunikācijas tehnoloģijas.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līdz 2029. gada 31. decembrim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 atbalstītajās struktūrās izveidotās pētniecības darbvietas – 66 (pilna laika slodzes ekvivalenta izteiksmē);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doktorantu skaits, kas saņēmuši Eiropas Reģionālās attīstības fonda atbalstu studiju vai zinātniski pētnieciskajam darbam projekta iesniedzēja vai projekta sadarbības partnera institūcijā, – 264;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doktorantūras granta saņēmēju īpatsvars, kas ieguvuši zinātnes doktora grādu, – 25 procenti.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finansējuma saņēmējs uzkrāj šādus RIS3 rādītājus katrā no RIS3 jomām: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iesaistītais zinātniskais personāls, skaits (tai skaitā jaunie zinātnieki, doktoranti un doktora grāda pretendenti);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iesaistītais zinātniskais personāls – skaits pilna laika slodzes ekvivalenta izteiksmē (tai skaitā jaunie zinātnieki, doktoranti un doktora grāda pretendenti);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iesaistītais zinātnes tehniskais personāls – skaits (tai skaitā jaunie zinātnieki, doktoranti un doktora grāda pretendenti);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iesaistītais zinātnes tehniskais personāls – skaits pilna laika slodzes ekvivalenta izteiksmē (tai skaitā jaunie zinātnieki, doktoranti un doktora grāda pretendenti);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publikācijas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 </w:t>
      </w:r>
      <w:r w:rsidR="00000000" w:rsidRPr="00000000" w:rsidDel="00000000">
        <w:rPr>
          <w:rtl w:val="0"/>
        </w:rPr>
        <w:t xml:space="preserve">(kopā);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un attīstības izdevumu apjoms –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informāciju iesniedz Kohēzijas politikas fondu vadības informācijas sistēmā kopā ar maksājuma pieprasījumu.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plānotais kopējais finansējums ir 19 140 000 </w:t>
      </w:r>
      <w:r w:rsidR="00000000" w:rsidRPr="00000000" w:rsidDel="00000000">
        <w:rPr>
          <w:i w:val="1"/>
          <w:rtl w:val="0"/>
        </w:rPr>
        <w:t xml:space="preserve">euro </w:t>
      </w:r>
      <w:r w:rsidR="00000000" w:rsidRPr="00000000" w:rsidDel="00000000">
        <w:rPr>
          <w:rtl w:val="0"/>
        </w:rPr>
        <w:t xml:space="preserve">(tostarp elastības finansējums – 3 018 862 </w:t>
      </w:r>
      <w:r w:rsidR="00000000" w:rsidRPr="00000000" w:rsidDel="00000000">
        <w:rPr>
          <w:i w:val="1"/>
          <w:rtl w:val="0"/>
        </w:rPr>
        <w:t xml:space="preserve">euro</w:t>
      </w:r>
      <w:r w:rsidR="00000000" w:rsidRPr="00000000" w:rsidDel="00000000">
        <w:rPr>
          <w:rtl w:val="0"/>
        </w:rPr>
        <w:t xml:space="preserve">), tai skaitā Eiropas Reģionālās attīstības fonda finansējums – 16 269 000 </w:t>
      </w:r>
      <w:r w:rsidR="00000000" w:rsidRPr="00000000" w:rsidDel="00000000">
        <w:rPr>
          <w:i w:val="1"/>
          <w:rtl w:val="0"/>
        </w:rPr>
        <w:t xml:space="preserve">euro </w:t>
      </w:r>
      <w:r w:rsidR="00000000" w:rsidRPr="00000000" w:rsidDel="00000000">
        <w:rPr>
          <w:rtl w:val="0"/>
        </w:rPr>
        <w:t xml:space="preserve">(tostarp elastības finansējums – 2 566 033 </w:t>
      </w:r>
      <w:r w:rsidR="00000000" w:rsidRPr="00000000" w:rsidDel="00000000">
        <w:rPr>
          <w:i w:val="1"/>
          <w:rtl w:val="0"/>
        </w:rPr>
        <w:t xml:space="preserve">euro</w:t>
      </w:r>
      <w:r w:rsidR="00000000" w:rsidRPr="00000000" w:rsidDel="00000000">
        <w:rPr>
          <w:rtl w:val="0"/>
        </w:rPr>
        <w:t xml:space="preserve">) un valsts budžeta līdzfinansējums – ne mazāk kā 2 871 000 </w:t>
      </w:r>
      <w:r w:rsidR="00000000" w:rsidRPr="00000000" w:rsidDel="00000000">
        <w:rPr>
          <w:i w:val="1"/>
          <w:rtl w:val="0"/>
        </w:rPr>
        <w:t xml:space="preserve">euro </w:t>
      </w:r>
      <w:r w:rsidR="00000000" w:rsidRPr="00000000" w:rsidDel="00000000">
        <w:rPr>
          <w:rtl w:val="0"/>
        </w:rPr>
        <w:t xml:space="preserve">(tostarp elastības finansējums – 452 829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Projektu iesniegumos pasākuma īstenošanai kopējo pasākumam pieejamo finansējumu plāno ne vairāk kā 16 121 138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 13 702 967 </w:t>
      </w:r>
      <w:r w:rsidR="00000000" w:rsidRPr="00000000" w:rsidDel="00000000">
        <w:rPr>
          <w:i w:val="1"/>
          <w:rtl w:val="0"/>
        </w:rPr>
        <w:t xml:space="preserve">euro</w:t>
      </w:r>
      <w:r w:rsidR="00000000" w:rsidRPr="00000000" w:rsidDel="00000000">
        <w:rPr>
          <w:rtl w:val="0"/>
        </w:rPr>
        <w:t xml:space="preserve"> apmērā un valsts budžeta līdzfinansējumu – 2 418 171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Maksimālā Eiropas Reģionālās attīstības fonda finansējuma intensitāte ir 85 procenti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pieejamo finansējumu līdz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minētajam plānotā kopējā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atbalsts tiek sniegts grantu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īsteno ar saimnieciskās darbības veikšanu nesaistītu projektu.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minētais projekta iesniedzējs sagatavo projekta iesniegumu un projektu iesniegumu atlases nolikumā noteiktajā kārtībā iesniedz to sadarbības iestādē, izmantojot Kohēzijas politikas fondu vadības informācijas sistēmas elektronisko vidi. Ja sadarbības iestāde apstiprina projekta iesniegumu un noslēdz vienošanos par projekta īstenošanu, projekta iesniedzējs ir finansējuma saņēmējs (turpmāk – finansējuma saņēmējs).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projekta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Projektu iesniedzēji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 kas projektu īsteno kopīgi ar Latvijas Mākslas akadēmiju un Jāzepa Vītola Latvijas Mūzikas akadēmiju kā projekta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 kas projektu īsteno kopīgi ar Banku augstskolu kā projekta sadarbības partneri;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Stradiņa universitāte, kas projektu īsteno kopīgi ar Latvijas Sporta pedagoģijas akadēmiju kā projekta sadarbības partneri;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Tehniskā universitāte, kas projektu īsteno kopīgi ar Liepājas Universitāti un Rēzeknes Tehnoloģiju akadēmiju kā projekta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Augstskola, kas projektu īsteno kopīgi ar Vidzemes augstskolu kā projekta sadarbības partneri.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Katram projekta iesniedzējam plānotais kopējais attiecināmais finansējums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870 000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akadēmijai – 435 000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universitātei – 1 667 500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Universitātei – 6 597 500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Stradiņa universitātei – 2 827 500 e</w:t>
      </w:r>
      <w:r w:rsidR="00000000" w:rsidRPr="00000000" w:rsidDel="00000000">
        <w:rPr>
          <w:i w:val="1"/>
          <w:rtl w:val="0"/>
        </w:rPr>
        <w:t xml:space="preserv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Tehniskajai universitātei – 6 380 000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Augstskolai – 362 500 e</w:t>
      </w:r>
      <w:r w:rsidR="00000000" w:rsidRPr="00000000" w:rsidDel="00000000">
        <w:rPr>
          <w:i w:val="1"/>
          <w:rtl w:val="0"/>
        </w:rPr>
        <w:t xml:space="preserv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Katram projekta iesniedzējam pieejamais kopējais attiecināmais finansējums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732 779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akadēmijai – 366 390 </w:t>
      </w:r>
      <w:r w:rsidR="00000000" w:rsidRPr="00000000" w:rsidDel="00000000">
        <w:rPr>
          <w:i w:val="1"/>
          <w:rtl w:val="0"/>
        </w:rPr>
        <w:t xml:space="preserve">euro;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universitātei – 1 404 493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Universitātei – 5 556 907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Stradiņa universitātei – 2 381 532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Tehniskajai universitātei – 5 373 713 </w:t>
      </w:r>
      <w:r w:rsidR="00000000" w:rsidRPr="00000000" w:rsidDel="00000000">
        <w:rPr>
          <w:i w:val="1"/>
          <w:rtl w:val="0"/>
        </w:rPr>
        <w:t xml:space="preserve">euro;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Augstskolai – 305 324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Līdz 2029. gada 31. decembrim sasniedzams rezultāta rādītājs "Atbalstītajās struktūrās izveidotās pētniecības darbvietas" pilna laika ekvivalenta izteiksmē: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Universitātes projektā – vismaz 3;</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akadēmijas projektā – vismaz 1,5;</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universitātes projektā – vismaz 5,75;</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Universitātes projektā – vismaz 22,75;</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Stradiņa universitātes projektā – vismaz 9,75;</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Tehniskās universitātes projektā – vismaz 22;</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Augstskolas projektā – vismaz 1,25.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Līdz 2029. gada 31. decembrim sasniedzams nacionālais rādītājs "Doktorantu skaits, kas saņēmuši Eiropas Reģionālās attīstības fonda atbalstu studiju vai zinātniski pētnieciskajam darbam projekta iesniedzēja vai projekta sadarbības partnera institūcijā":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Universitātes projektā – vismaz 12;</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akadēmijas projektā – vismaz 6;</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universitātes projektā – vismaz 23;</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Universitātes projektā – vismaz 91;</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Stradiņa universitātes projektā – vismaz 39;</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Tehniskās universitātes projektā – vismaz 88;</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Augstskolas projektā – vismaz 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Nodrošinot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6.2.2.</w:t>
      </w:r>
      <w:r w:rsidR="00000000" w:rsidRPr="00000000" w:rsidDel="00000000">
        <w:rPr>
          <w:rtl w:val="0"/>
        </w:rPr>
        <w:t xml:space="preserve"> apakšpunktā</w:t>
      </w:r>
      <w:r w:rsidR="00000000" w:rsidRPr="00000000" w:rsidDel="00000000">
        <w:rPr>
          <w:rtl w:val="0"/>
        </w:rPr>
        <w:t xml:space="preserve"> minētā nacionālā rādītāja izpildi, projekta iesniedzējs un projekta sadarbības partneris vienlaikus nodrošina, ka līdz projekta īstenošanas beigām vismaz 25 procenti no doktorantūras granta saņēmējiem ir ieguvuši zinātnes doktora grādu.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sagatavo un iesniedz sadarbības iestādē projekta iesniegumu atbilstoši projektu atlases nolikumā noteiktajām prasībām un pievieno tam projekta iesniedzēja sadarbības kārtību ar projekta sadarbības partneriem, sadarbības līguma projektu, doktorantūras grantu saņēmēju atlases nolikuma projektu un līguma projektu ar doktorantūras grantu saņēmējiem.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iesniedzēji (ja attiecināms) pirms projekta iesnieguma iesniegšanas sadarbības iestādē noslēdz sadarbības līgumus par projekta kopīgu īstenošanu ar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projekta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Pēc vienošanās par projekta īstenošanu noslēgšanas finansējuma saņēmēji (ja attiecināms) noslēdz sadarbības līgumus arī ar citiem projekta sadarbības partneriem, lai nodrošinātu doktorantu iesaisti studiju vai pētnieciskajā darbā: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un </w:t>
      </w:r>
      <w:r w:rsidR="00000000" w:rsidRPr="00000000" w:rsidDel="00000000">
        <w:rPr>
          <w:rtl w:val="0"/>
        </w:rPr>
        <w:t xml:space="preserve">18.7.</w:t>
      </w:r>
      <w:r w:rsidR="00000000" w:rsidRPr="00000000" w:rsidDel="00000000">
        <w:rPr>
          <w:rtl w:val="0"/>
        </w:rPr>
        <w:t xml:space="preserve"> apakšpunktā</w:t>
      </w:r>
      <w:r w:rsidR="00000000" w:rsidRPr="00000000" w:rsidDel="00000000">
        <w:rPr>
          <w:rtl w:val="0"/>
        </w:rPr>
        <w:t xml:space="preserve"> minētie finansējuma saņēmēji noslēdz sadarbības līgumu ar vēl vismaz vienu projekta sadarbības partneri, kas nav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un </w:t>
      </w:r>
      <w:r w:rsidR="00000000" w:rsidRPr="00000000" w:rsidDel="00000000">
        <w:rPr>
          <w:rtl w:val="0"/>
        </w:rPr>
        <w:t xml:space="preserve">18.7.</w:t>
      </w:r>
      <w:r w:rsidR="00000000" w:rsidRPr="00000000" w:rsidDel="00000000">
        <w:rPr>
          <w:rtl w:val="0"/>
        </w:rPr>
        <w:t xml:space="preserve"> apakšpunktā</w:t>
      </w:r>
      <w:r w:rsidR="00000000" w:rsidRPr="00000000" w:rsidDel="00000000">
        <w:rPr>
          <w:rtl w:val="0"/>
        </w:rPr>
        <w:t xml:space="preserve"> minētie finansējuma saņēmēja sadarbības partneri;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18.6.</w:t>
      </w:r>
      <w:r w:rsidR="00000000" w:rsidRPr="00000000" w:rsidDel="00000000">
        <w:rPr>
          <w:rtl w:val="0"/>
        </w:rPr>
        <w:t xml:space="preserve"> apakšpunktā</w:t>
      </w:r>
      <w:r w:rsidR="00000000" w:rsidRPr="00000000" w:rsidDel="00000000">
        <w:rPr>
          <w:rtl w:val="0"/>
        </w:rPr>
        <w:t xml:space="preserve"> minētie finansējuma saņēmēji noslēdz sadarbības līgumu ar ne mazāk kā trim projekta sadarbības partneriem, kas nav šo noteikumu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18.6.</w:t>
      </w:r>
      <w:r w:rsidR="00000000" w:rsidRPr="00000000" w:rsidDel="00000000">
        <w:rPr>
          <w:rtl w:val="0"/>
        </w:rPr>
        <w:t xml:space="preserve"> apakšpunktā</w:t>
      </w:r>
      <w:r w:rsidR="00000000" w:rsidRPr="00000000" w:rsidDel="00000000">
        <w:rPr>
          <w:rtl w:val="0"/>
        </w:rPr>
        <w:t xml:space="preserve"> minētie finansējuma saņēmēja sadarbības partneri.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vai finansējuma saņēmējs ar projekta sadarbības partneri noslēdz sadarbības līgumu par projekta īstenošanu. Sadarbības līgumā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līgumā norādāmo informāciju, kas noteikta normatīvajos aktos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pienākumu un atbildības sadali projekta mērķu un rezultātu sasniegšanai;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savstarpējo norēķinu veikšanas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apstiprinājumu, ka visas tiesības uz projekta īstenošanas rezultātā radušos intelektuālo īpašumu saglabā finansējuma saņēmējs vai sadarbības partneris, pie kura atbalstītais doktorants iegūst doktora grādu;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nosacījumu, ka sadarbības partnerim nodotās ar projekta īstenošanu saistītās tiesības un saistības netiek nodotas citai personai, izņemot gadījumu, ja sadarbības partnera reorganizācijas rezultātā tā tiesības un saistības tiek nodotas finansējuma saņēmējam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pienākumu uzkrāt šo noteikumu </w:t>
      </w:r>
      <w:r w:rsidR="00000000" w:rsidRPr="00000000" w:rsidDel="00000000">
        <w:rPr>
          <w:rtl w:val="0"/>
        </w:rPr>
        <w:t xml:space="preserve">48.</w:t>
      </w:r>
      <w:r w:rsidR="00000000" w:rsidRPr="00000000" w:rsidDel="00000000">
        <w:rPr>
          <w:rtl w:val="0"/>
        </w:rPr>
        <w:t xml:space="preserve"> punktā</w:t>
      </w:r>
      <w:r w:rsidR="00000000" w:rsidRPr="00000000" w:rsidDel="00000000">
        <w:rPr>
          <w:rtl w:val="0"/>
        </w:rPr>
        <w:t xml:space="preserve">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iesniedzējs nodrošina, ka projekta sadarbības partnera projekta ietvaros veiktās darbības atbilst šo noteikumu </w:t>
      </w:r>
      <w:r w:rsidR="00000000" w:rsidRPr="00000000" w:rsidDel="00000000">
        <w:rPr>
          <w:rtl w:val="0"/>
        </w:rPr>
        <w:t xml:space="preserve">2.1.</w:t>
      </w:r>
      <w:r w:rsidR="00000000" w:rsidRPr="00000000" w:rsidDel="00000000">
        <w:rPr>
          <w:rtl w:val="0"/>
        </w:rPr>
        <w:t xml:space="preserve"> apakšpunktā</w:t>
      </w:r>
      <w:r w:rsidR="00000000" w:rsidRPr="00000000" w:rsidDel="00000000">
        <w:rPr>
          <w:rtl w:val="0"/>
        </w:rPr>
        <w:t xml:space="preserve"> minētajiem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 nodrošinātu sekmīgu projekta īstenošanu, mērķu sasniegšanu un projektam piešķirto līdzekļu lietderīgu un efektīvu izlietošanu, projekta iesniedzējs iekļauj projekta iesniegumā informāciju par iekšējo projekta vadības un kontroles sistēmu, paredzot sadarbības regulējumu ar projekta sadarbības partneriem, kā arī aprakstot, kādas darbības un uzraudzības instrumenti ir plānoti vai ieviesti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to uzskaites nodalīšana katra projekta sadarbības partnera grāmatvedības uzskaitē un finanšu pārskatu ticamības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projekta sadarbības partneru dalība to veikšanā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doktorantu iesaiste studiju vai zinātniski pētnieciskajā darbā augstākās izglītības institūcijā vai projekta sadarbības partnera organizācijā vismaz 12 mēnešus projekta ietvaros, nepārsniedzot 50 procentus no pilnas darba slodzes;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projektā plāno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attiecināmās izmaksas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30.2.</w:t>
      </w:r>
      <w:r w:rsidR="00000000" w:rsidRPr="00000000" w:rsidDel="00000000">
        <w:rPr>
          <w:rtl w:val="0"/>
        </w:rPr>
        <w:t xml:space="preserve"> un </w:t>
      </w:r>
      <w:r w:rsidR="00000000" w:rsidRPr="00000000" w:rsidDel="00000000">
        <w:rPr>
          <w:rtl w:val="0"/>
        </w:rPr>
        <w:t xml:space="preserve">30.3.</w:t>
      </w:r>
      <w:r w:rsidR="00000000" w:rsidRPr="00000000" w:rsidDel="00000000">
        <w:rPr>
          <w:rtl w:val="0"/>
        </w:rPr>
        <w:t xml:space="preserve"> apakšpunktā</w:t>
      </w:r>
      <w:r w:rsidR="00000000" w:rsidRPr="00000000" w:rsidDel="00000000">
        <w:rPr>
          <w:rtl w:val="0"/>
        </w:rPr>
        <w:t xml:space="preserve"> minēto darbību īstenošanai, ņemot vērā, ka: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84 787 </w:t>
      </w:r>
      <w:r w:rsidR="00000000" w:rsidRPr="00000000" w:rsidDel="00000000">
        <w:rPr>
          <w:i w:val="1"/>
          <w:rtl w:val="0"/>
        </w:rPr>
        <w:t xml:space="preserve">euro</w:t>
      </w:r>
      <w:r w:rsidR="00000000" w:rsidRPr="00000000" w:rsidDel="00000000">
        <w:rPr>
          <w:rtl w:val="0"/>
        </w:rPr>
        <w:t xml:space="preserve"> gadā, ja projekta tiešās attiecināmās izmaksas ir lielākas par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34 422 </w:t>
      </w:r>
      <w:r w:rsidR="00000000" w:rsidRPr="00000000" w:rsidDel="00000000">
        <w:rPr>
          <w:i w:val="1"/>
          <w:rtl w:val="0"/>
        </w:rPr>
        <w:t xml:space="preserve">euro </w:t>
      </w:r>
      <w:r w:rsidR="00000000" w:rsidRPr="00000000" w:rsidDel="00000000">
        <w:rPr>
          <w:rtl w:val="0"/>
        </w:rPr>
        <w:t xml:space="preserve">gadā, pieskaitot 0,64 procentus no projekta tiešajām attiecināmajām izmaksām (neieskaitot tiešās projekta vadības personāla izmaksas), ja projekta tiešās attiecināmās izmaksas nepārsniedz 5 000 000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projekts ilgst mazāk par gadu vai nepilnus kalendāra gadus, tad ierobežojumu aprēķina proporcionāli projekta darbību īstenošanas pilnu mēnešu skaitam;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īstenošanas personāla atlīdzības izmaksas (izņemot virsstundas)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jaunu darba vietu aprīkojuma iegādes vai nomas izmaksas projekta vadības un īstenošanas personālam (tai skaitā aprīkojuma uzturēšanas un remonta izmaksas, ja esošo darba vietu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normālu darba laiku, darba vietas aprīkojuma izmaksas ir attiecināmas 100 procentu apmērā. Ja personāls ir nodarbināts nepilnu darba laiku vai personāla atlīdzībai piemēro daļlaika izmaksu attiecināmības principu, darba vietas aprīkojuma izmaksas ir attiecināmas proporcionāli slodzes procentuālajam sadalījumam. Savukārt daļlaika izmaksu attiecināmības principa gadījumā tiek ņemts vērā nodarbinātā iesaistes periods projektā pret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pakalpojumu izmaksas (maksa par degvielu, maksa par sabiedriskā transporta izmantošanu) šo noteikumu </w:t>
      </w:r>
      <w:r w:rsidR="00000000" w:rsidRPr="00000000" w:rsidDel="00000000">
        <w:rPr>
          <w:rtl w:val="0"/>
        </w:rPr>
        <w:t xml:space="preserve">30.1.</w:t>
      </w:r>
      <w:r w:rsidR="00000000" w:rsidRPr="00000000" w:rsidDel="00000000">
        <w:rPr>
          <w:rtl w:val="0"/>
        </w:rPr>
        <w:t xml:space="preserve"> un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izmaksas šo noteikumu </w:t>
      </w:r>
      <w:r w:rsidR="00000000" w:rsidRPr="00000000" w:rsidDel="00000000">
        <w:rPr>
          <w:rtl w:val="0"/>
        </w:rPr>
        <w:t xml:space="preserve">30.2.</w:t>
      </w:r>
      <w:r w:rsidR="00000000" w:rsidRPr="00000000" w:rsidDel="00000000">
        <w:rPr>
          <w:rtl w:val="0"/>
        </w:rPr>
        <w:t xml:space="preserve"> un </w:t>
      </w:r>
      <w:r w:rsidR="00000000" w:rsidRPr="00000000" w:rsidDel="00000000">
        <w:rPr>
          <w:rtl w:val="0"/>
        </w:rPr>
        <w:t xml:space="preserve">30.3.</w:t>
      </w:r>
      <w:r w:rsidR="00000000" w:rsidRPr="00000000" w:rsidDel="00000000">
        <w:rPr>
          <w:rtl w:val="0"/>
        </w:rPr>
        <w:t xml:space="preserve"> apakšpunktā</w:t>
      </w:r>
      <w:r w:rsidR="00000000" w:rsidRPr="00000000" w:rsidDel="00000000">
        <w:rPr>
          <w:rtl w:val="0"/>
        </w:rPr>
        <w:t xml:space="preserve"> minēto atbalstāmo darbību īstenošanai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atlīdzība doktorantam par studiju vai zinātniski pētnieciskā darba veikšanu, ievērojot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minētos nosacījumus. Attiecināmais atlīdzības izmaksu apmērs tiek noteikts, ievērojot, ka atlīdzība par pilnu darba slodzi nepārsniedz 2 600 </w:t>
      </w:r>
      <w:r w:rsidR="00000000" w:rsidRPr="00000000" w:rsidDel="00000000">
        <w:rPr>
          <w:i w:val="1"/>
          <w:rtl w:val="0"/>
        </w:rPr>
        <w:t xml:space="preserve">euro</w:t>
      </w:r>
      <w:r w:rsidR="00000000" w:rsidRPr="00000000" w:rsidDel="00000000">
        <w:rPr>
          <w:rtl w:val="0"/>
        </w:rPr>
        <w:t xml:space="preserve"> mēnesī, ieskaitot darba devēja valsts sociālās apdrošināšanas obligātās iemaksas;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pētniecības izmaksas doktorantam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minētās darbības īstenošanai, tai skaitā pētniecībai nepieciešamo materiālu iegādes, tehnoloģiju tiesību aizsardzības un ārpakalpojumu izmaksas, mācību izmaksas un tīklošanas pasākumu izmaksas, tai skaitā komandējumi, konferenču dalības maksa un iesaistes izmaksas informatīvajos pasākumos. Attiecināmais pētniecības izmaksu apmērs tiek noteikts un izmaksas tiek attiecinātas atbilstoši atbildīgās iestādes apstiprinātajai vienas vienības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netiešās attiecināmās izmaksas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minēto darbību veikšanai. Tās plāno kā vienu izmaksu pozīciju, piemērojot netiešo izmaksu vienoto likmi 15 procentu apmērā no šo noteikumu </w:t>
      </w:r>
      <w:r w:rsidR="00000000" w:rsidRPr="00000000" w:rsidDel="00000000">
        <w:rPr>
          <w:rtl w:val="0"/>
        </w:rPr>
        <w:t xml:space="preserve">31.1.1.</w:t>
      </w:r>
      <w:r w:rsidR="00000000" w:rsidRPr="00000000" w:rsidDel="00000000">
        <w:rPr>
          <w:rtl w:val="0"/>
        </w:rPr>
        <w:t xml:space="preserve"> un </w:t>
      </w:r>
      <w:r w:rsidR="00000000" w:rsidRPr="00000000" w:rsidDel="00000000">
        <w:rPr>
          <w:rtl w:val="0"/>
        </w:rPr>
        <w:t xml:space="preserve">31.1.2.</w:t>
      </w:r>
      <w:r w:rsidR="00000000" w:rsidRPr="00000000" w:rsidDel="00000000">
        <w:rPr>
          <w:rtl w:val="0"/>
        </w:rPr>
        <w:t xml:space="preserve"> apakšpunktā</w:t>
      </w:r>
      <w:r w:rsidR="00000000" w:rsidRPr="00000000" w:rsidDel="00000000">
        <w:rPr>
          <w:rtl w:val="0"/>
        </w:rPr>
        <w:t xml:space="preserve"> minētajām tiešajām attiecināmajām personāla izmaksām. Netiešo izmaksu vienoto likmi piemēro personāla izmaksām, kuras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sadarbības partneris īsteno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minēto atbalstāmo darbību un nodrošina doktorantiem šo noteikumu </w:t>
      </w:r>
      <w:r w:rsidR="00000000" w:rsidRPr="00000000" w:rsidDel="00000000">
        <w:rPr>
          <w:rtl w:val="0"/>
        </w:rPr>
        <w:t xml:space="preserve">31.1.8.</w:t>
      </w:r>
      <w:r w:rsidR="00000000" w:rsidRPr="00000000" w:rsidDel="00000000">
        <w:rPr>
          <w:rtl w:val="0"/>
        </w:rPr>
        <w:t xml:space="preserve"> un </w:t>
      </w:r>
      <w:r w:rsidR="00000000" w:rsidRPr="00000000" w:rsidDel="00000000">
        <w:rPr>
          <w:rtl w:val="0"/>
        </w:rPr>
        <w:t xml:space="preserve">31.1.9.</w:t>
      </w:r>
      <w:r w:rsidR="00000000" w:rsidRPr="00000000" w:rsidDel="00000000">
        <w:rPr>
          <w:rtl w:val="0"/>
        </w:rPr>
        <w:t xml:space="preserve"> apakšpunktā</w:t>
      </w:r>
      <w:r w:rsidR="00000000" w:rsidRPr="00000000" w:rsidDel="00000000">
        <w:rPr>
          <w:rtl w:val="0"/>
        </w:rPr>
        <w:t xml:space="preserve"> minētās izmaksas atbilstoši projekta iesniedzēja sadarbības kārtībai ar projekta sadarbības partneriem un saskaņā ar projekta iesniedzēja noslēgto sadarbības līgumu ar projekta sadarbības partneri.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saņēmējam ir attiecināmas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minētās izmaksas. Sadarbības partnerim ir attiecināmas šo noteikumu </w:t>
      </w:r>
      <w:r w:rsidR="00000000" w:rsidRPr="00000000" w:rsidDel="00000000">
        <w:rPr>
          <w:rtl w:val="0"/>
        </w:rPr>
        <w:t xml:space="preserve">31.1.8.</w:t>
      </w:r>
      <w:r w:rsidR="00000000" w:rsidRPr="00000000" w:rsidDel="00000000">
        <w:rPr>
          <w:rtl w:val="0"/>
        </w:rPr>
        <w:t xml:space="preserve"> un </w:t>
      </w:r>
      <w:r w:rsidR="00000000" w:rsidRPr="00000000" w:rsidDel="00000000">
        <w:rPr>
          <w:rtl w:val="0"/>
        </w:rPr>
        <w:t xml:space="preserve">31.1.9.</w:t>
      </w:r>
      <w:r w:rsidR="00000000" w:rsidRPr="00000000" w:rsidDel="00000000">
        <w:rPr>
          <w:rtl w:val="0"/>
        </w:rPr>
        <w:t xml:space="preserve"> apakšpunktā</w:t>
      </w:r>
      <w:r w:rsidR="00000000" w:rsidRPr="00000000" w:rsidDel="00000000">
        <w:rPr>
          <w:rtl w:val="0"/>
        </w:rPr>
        <w:t xml:space="preserve"> minētās izmaksas, kā arī šo noteikumu </w:t>
      </w:r>
      <w:r w:rsidR="00000000" w:rsidRPr="00000000" w:rsidDel="00000000">
        <w:rPr>
          <w:rtl w:val="0"/>
        </w:rPr>
        <w:t xml:space="preserve">31.1.2.</w:t>
      </w:r>
      <w:r w:rsidR="00000000" w:rsidRPr="00000000" w:rsidDel="00000000">
        <w:rPr>
          <w:rtl w:val="0"/>
        </w:rPr>
        <w:t xml:space="preserve">, </w:t>
      </w:r>
      <w:r w:rsidR="00000000" w:rsidRPr="00000000" w:rsidDel="00000000">
        <w:rPr>
          <w:rtl w:val="0"/>
        </w:rPr>
        <w:t xml:space="preserve">31.1.4.</w:t>
      </w:r>
      <w:r w:rsidR="00000000" w:rsidRPr="00000000" w:rsidDel="00000000">
        <w:rPr>
          <w:rtl w:val="0"/>
        </w:rPr>
        <w:t xml:space="preserve"> un </w:t>
      </w:r>
      <w:r w:rsidR="00000000" w:rsidRPr="00000000" w:rsidDel="00000000">
        <w:rPr>
          <w:rtl w:val="0"/>
        </w:rPr>
        <w:t xml:space="preserve">31.1.5.</w:t>
      </w:r>
      <w:r w:rsidR="00000000" w:rsidRPr="00000000" w:rsidDel="00000000">
        <w:rPr>
          <w:rtl w:val="0"/>
        </w:rPr>
        <w:t xml:space="preserve"> apakšpunktā</w:t>
      </w:r>
      <w:r w:rsidR="00000000" w:rsidRPr="00000000" w:rsidDel="00000000">
        <w:rPr>
          <w:rtl w:val="0"/>
        </w:rPr>
        <w:t xml:space="preserve"> minētās izmaksas (ja attiecināms) saskaņā ar projekta iesniedzēja noslēgto sadarbības līgumu ar projekta sadarbības partneri.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izsludina atklātu doktorantu atlasi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minētās darbības īstenošanai un organizē to atbilstoši konkursa nolikumam, kas saskaņots ar visu doktora studiju programmu īstenošanā iesaistīto pušu pārstāvniecību, tai skaitā augstskolas, projekta sadarbības partneru un zinātnisko institūciju pārstāvniecību. Konkursa nolikums tiek izstrādāts, konsultējoties ar finansējuma saņēmēja un projekta sadarbības partneru studentus pārstāvošajām organizācijām.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ka, īstenojot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minēto atbalstāmo darbību, doktorants ir iesaistīts arī citā ar promocijas darba tematiku saistītā pētniecības un attīstības darbā pie finansējuma saņēmēja vai sadarbības partnera vai ir nodarbināts citā ar doktorantūras studijām saistītā darbā, nodrošinot papildu darba slodzi vismaz 25 procentu apmērā no pilnas darba slodzes.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31. oktobrim.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nodrošina dubultā finansējuma neiestāšanos un pasākuma ietvaros plānotā atbalsta nepārklāšanos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atklātā, pārredzamā, nediskriminējošā un konkurenci nodrošinošā procedūrā saskaņā ar publisko iepirkumu reglamentējošajiem normatīvajiem aktiem, izvērtējot iespējas īstenot sociāli atbildīgu publisko iepirkumu un inovatīvu publisko iepirkumu. Atbalstāma ir vides prasību un inovatīva risinājuma integrācija preču un pakalpojumu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31.1.1.</w:t>
      </w:r>
      <w:r w:rsidR="00000000" w:rsidRPr="00000000" w:rsidDel="00000000">
        <w:rPr>
          <w:rtl w:val="0"/>
        </w:rPr>
        <w:t xml:space="preserve"> un </w:t>
      </w:r>
      <w:r w:rsidR="00000000" w:rsidRPr="00000000" w:rsidDel="00000000">
        <w:rPr>
          <w:rtl w:val="0"/>
        </w:rPr>
        <w:t xml:space="preserve">31.1.2.</w:t>
      </w:r>
      <w:r w:rsidR="00000000" w:rsidRPr="00000000" w:rsidDel="00000000">
        <w:rPr>
          <w:rtl w:val="0"/>
        </w:rPr>
        <w:t xml:space="preserve"> apakšpunktā</w:t>
      </w:r>
      <w:r w:rsidR="00000000" w:rsidRPr="00000000" w:rsidDel="00000000">
        <w:rPr>
          <w:rtl w:val="0"/>
        </w:rPr>
        <w:t xml:space="preserve"> minētās tiešās attiecināmās personāla atlīdzības izmaksas, finansējuma saņēmējs nodrošina, ka projekta vadības un īstenošanas personāls ir nodarbināts pilnu darba laiku vai nepilnu darba laiku, vai daļlaiku ne mazāk kā 30 procentu apmērā no normālā darba laika, attiecīgi veicot projekta vadības un īstenošanas personāla darba laika uzskaiti par veiktajām funkcijām un nostrādāto laiku.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Pievienotās vērtības nodoklis uzskatāms par attiecināmām izmaksām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Pasākuma ietvaros finansējuma saņēmējam izmaksas ir attiecināmas, ja tās atbilst šajos noteikumos minētajām izmaksu pozīcijām un ir radušās ne agrāk kā dienā, kad noslēgta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sadarbības partneriem izmaksas ir attiecināmas pēc 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minēto sadarbības līgumu noslēgšanas, bet ne agrāk kā no dienas, kad noslēgta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ir atbildīgs par projekta sadarbības partnera pienākumu izpildi projekta īstenošanā un projekta sadarbības partneru īstenotajām funkcijām projektā, tai skaitā nodrošina dubultā finansējuma neiestāšanos un pasākuma ietvaros plānotā atbalsta nepārklāšanos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saskaņā ar vienošanos par projekta īstenošanu finansējuma saņēmējam ir paredzēts avanss, to var izmaksāt pa daļām. Viens avansa maksājums nepārsniedz 30 procentus no projektam piešķirtā Eiropas Reģionālās attīstības fonda finansējuma un valsts budžeta līdzfinansējuma kopsummas. Finansējuma saņēmējam avansa un starpposma maksājumu kopsumma var būt 100 procenti no projektam piešķirtā Eiropas Reģionālās attīstības fonda finansējuma un valsts budžeta līdzfinansējuma kopsummas. Sadarbības iestāde var pieņemt lēmumu par nākamā avansa piešķiršanu pēc tam, kad iepriekšējais avansa maksājums ir apgūts pilnā apmērā.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nodrošināšanas pasākumus saskaņā ar regulas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un projekta sadarbības partneris projekta īstenošanas laikā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61. panta prasībām un publisko iepirkumu reglamentējošajiem normatīvajiem aktiem,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savā tīmekļvietnē ievieto informāciju par projekta īstenošanas gaitu un aktualizē to, tiklīdz pieejama jaunākā informācija,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apakšpunktā</w:t>
      </w:r>
      <w:r w:rsidR="00000000" w:rsidRPr="00000000" w:rsidDel="00000000">
        <w:rPr>
          <w:rtl w:val="0"/>
        </w:rPr>
        <w:t xml:space="preserve">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laikā atbalstīto doktorantu aizstāvētajiem promocijas darbiem, to sadalījumu pa RIS3 jomām, gadu, kurā promocijas darbs aizstāvēts, un promocijas darba autora dzimšanas gadu;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rādītāju "Sieviešu skaits atbalsta saņēmēju vidū";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saņēmušajām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minētajām personām, laikposmu, kurā saņemts atbalsts, un promocijas darba tematiku.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nodrošina personu datu apstrādi saskaņā ar Eiropas Parlamenta un Padomes 2016. gada 27. aprīļa Regulas (ES) 2016/679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(Vispārīgā datu aizsardzības regula), 5. panta 1. punkta "a" apakšpunktu – likumīgā, godprātīgā un datu subjektam pārredzamā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projekta īstenošanas gaitā radies izmaksu sadārdzinājums, finansējuma saņēmējs to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Finansējuma saņēmējs un projekta sadarbības partneris nodrošina šādu prasību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īstenojot projektu, ir nodrošināta projekta īstenošanas finanšu plūsmas nodalīšana no citām finansējuma saņēmēja un sadarbības partnera darbības finanšu plūsmām projekta īstenošanas laikā un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nodrošināta atsevišķa ar saimniecisko darbību nesaistīto darījumu ieņēmumu un izdevumu grāmatvedības uzskaite, kā arī minēto darījumu finanšu plūsmu nodalīšana atbilstoši normatīvajiem aktiem par gada pārskata sagatavošanas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24-TA-1304</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24-TA-1304</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noteikumu_konsolidētā_versija_24-TA-1304.docx</dc:title>
</cp:coreProperties>
</file>

<file path=docProps/custom.xml><?xml version="1.0" encoding="utf-8"?>
<Properties xmlns="http://schemas.openxmlformats.org/officeDocument/2006/custom-properties" xmlns:vt="http://schemas.openxmlformats.org/officeDocument/2006/docPropsVTypes"/>
</file>