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atsevišķu Ministru kabineta noteikumu atzīšanu par spēku zaudējušiem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 Ceļu satiksmes likuma 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1 </w:t>
      </w:r>
      <w:r w:rsidR="00000000" w:rsidRPr="00000000" w:rsidDel="00000000">
        <w:rPr>
          <w:rStyle w:val="paragraph"/>
          <w:i w:val="1"/>
          <w:rtl w:val="0"/>
        </w:rPr>
        <w:t xml:space="preserve">panta 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zaudējušiem šādus Ministru kabineta noteikumus: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2006.gada 27.jūnija noteikumus Nr.535 "Lauksaimniecībā vai mežsaimniecībā izmantojamo traktoru, piekabju un to sastāvdaļu atbilstības novērtēšanas noteikumi" (Latvijas Vēstnesis, 2006, 104. nr.; 2007, 37., 129. nr.; 2008, 106. nr.; 2009, 205. nr.; 2010, 105. nr.; 2011, 32. nr.; 2012, 48., 83. nr.; 2013, 65., 153. nr.; 2014, 232. nr.; 2018, 245 nr.);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Ministru kabineta 2008.gada 7.jūlija noteikumus Nr.516 "Noteikumi par tehniskajām prasībām lauksaimniecības un mežsaimniecības riteņtraktoru redzamības laukam un priekšējā stikla tīrītājiem" (Latvijas Vēstnesis, 2008, 106. 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24-TA-1131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24-TA-1131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noteikumu_projekts_24-TA-1131.docx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