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lielgabarīta un smagsvara pārvadājumu atļaujas izsniegšanas valsts nodevas apmēru, samaksas kārtību un atbrīvojumiem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autoceļiem</w:t>
      </w:r>
      <w:r w:rsidR="00000000" w:rsidRPr="00000000" w:rsidDel="00000000">
        <w:rPr>
          <w:rStyle w:val="paragraph"/>
          <w:i w:val="1"/>
          <w:rtl w:val="0"/>
        </w:rPr>
        <w:t xml:space="preserve">" 6.panta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nodevas par lielgabarīta un smagsvara pārvadājumu atļaujas izsniegšanu (turpmāk – nodeva) apmēru, maksāšanas kārtību un atbrīvojumus.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i w:val="1"/>
          <w:rtl w:val="0"/>
        </w:rPr>
        <w:t xml:space="preserve"> (Svītrots)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Nodevu maksā pirms lielgabarīta un smagsvara pārvadājumu atļaujas saņemšanas, izmantojot bezskaidras naudas norēķinus.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Nodevu maksā saskaņā ar šo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 norādītajām likmēm, summējot šo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norādītās nodevas likmes par katra </w:t>
      </w:r>
      <w:r w:rsidR="00000000" w:rsidRPr="00000000" w:rsidDel="00000000">
        <w:rPr>
          <w:rtl w:val="0"/>
        </w:rPr>
        <w:t xml:space="preserve">Ministru kabineta 2015. gada 2. jūnija noteikumu Nr. 279 </w:t>
      </w:r>
      <w:r w:rsidR="00000000" w:rsidRPr="00000000" w:rsidDel="00000000">
        <w:rPr>
          <w:rtl w:val="0"/>
        </w:rPr>
        <w:t xml:space="preserve">"Ceļu satiksmes noteikumi"</w:t>
      </w:r>
      <w:r w:rsidR="00000000" w:rsidRPr="00000000" w:rsidDel="00000000">
        <w:rPr>
          <w:rtl w:val="0"/>
        </w:rPr>
        <w:t xml:space="preserve"> (turpmāk – Ceļu satiksmes noteikumi)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minētā transportlīdzekļa vai transportlīdzekļu sastāva parametra pārsniegšanu.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Nodevu maksā saskaņā ar šo noteikumu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norādītajām nodevas likmēm, summējot tās atbilstoši pārvadājuma veidam un izvēlētajam termiņam.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Nodevas nedēļas likme paredz tiesības veikt pārvadājumus septiņas nepārtrauktas diennaktis, bet mēneša likme – 30 nepārtrauktas diennaktis.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nodevas samaksas ir atbrīvoti transportlīdzekļu īpašnieki (turētāji, valdītāji), kas lielgabarīta un smagsvara pārvadājumiem izmanto šādus transportlīdzekļus: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institūcijai piederošu transportlīdzekli, Aizsardzības ministrijas institūcijai piederošu transportlīdzekli;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transportlīdzekli, kas iesaistīts ārkārtas situācijas radīto seku likvidēšanā;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traktortehniku (izņemot celšanas un citas speciālās pašgājējmašīnas), kas ir vai nav aprīkota ar maināmu tehnoloģisko agregātu vai maināmu velkamo iekārtu un nav paredzēta kravas pārvadāšanai un kuras kopējie parametri nepārsniedz: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faktisko masu 48 t;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augstumu 4,5 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platumu 5 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garumu 24 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ass slodzi 12 t;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traktortehnikas sastāvu, ja piekabes platums nepārsniedz 3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22-TA-2689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22-TA-2689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noteikumu_konsolidētā_versija_22-TA-2689.docx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