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Mēslošanas līdzekļu identifikācijas 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Vienkāršie (galvenos augu barības elementus saturošie) minerālmēsli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Slāpekļa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239"/>
        <w:gridCol w:w="2239"/>
        <w:tblGridChange w:id="0">
          <w:tblGrid>
            <w:gridCol w:w="419"/>
            <w:gridCol w:w="2239"/>
            <w:gridCol w:w="2143"/>
            <w:gridCol w:w="2239"/>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(salpetris)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var saturēt piedevas – malto kaļķakmeni, malto dolomītu, kalcija sulfātu, magnija sulfātu, kizerītu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un amonija slāpeklis katrs veido apmēram pusi no kopējā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var saturēt piedevas: kalcija karbonātu (kaļķakmeni) vai magnija un kalcija karbonātu (dolomītu).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minerālmēsli satur vairāk par 28 % N, tiem jāatbilst šādām papildu prasībām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tie nedrīkst saturēt neorganiskas piedevas vai citas inertas vielas (izņemot iepriekš minētās), kuras var palielināt to sakaršanu vai sprādzienbīstamību, kā arī smagos metālus, un jebkurš ražošanas procesā radies to daudzums nedrīkst palielināt produkta sakaršanu vai sprādzienbīstamību;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minerālmēsliem, kas vispirms bijuši pakļauti diviem termiskiem cikliem 25–50 °C temperatūrā, naftas produktu piesaistes spēja nepārsniedz 4 % no 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viegli uzliesmojošās sastāvdaļas, izteiktas oglekļa veidā, nepārsniedz (masas procentos):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 – minerālmēsliem, kas satur ne mazāk kā 31,5 %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 – minerālmēsliem, kas satur 28–31,4 %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amonija nitrāta šķīduma (10 g amonija nitrāta izšķīdināti 100 ml ūdens) pH ir ne mazāks par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ne vairāk par 5 % daļiņu iziet cauri sietam, kura acu izmērs ir 1 mm un ne vairāk kā 3 % – cauri sietam, kura acu izmērs ir 0,5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hlora saturs nepārsniedz 0,02 % no amonija nitrāta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vara saturs (noteikts hlorūdeņražskābē, kuras blīvums 20 °C temperatūrā – 1,18 g/ml) nepārsniedz 10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kalcija nitrāts un 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nitrātu (N-NO</w:t>
            </w:r>
            <w:r w:rsidR="00000000" w:rsidRPr="00000000" w:rsidDel="00000000">
              <w:rPr>
                <w:vertAlign w:val="subscript"/>
                <w:rtl w:val="0"/>
              </w:rPr>
              <w:t xml:space="preserve">3</w:t>
            </w:r>
            <w:r w:rsidR="00000000" w:rsidRPr="00000000" w:rsidDel="00000000">
              <w:rPr>
                <w:rtl w:val="0"/>
              </w:rPr>
              <w:t xml:space="preserve">) un amonija slāpekļa (N-NH</w:t>
            </w:r>
            <w:r w:rsidR="00000000" w:rsidRPr="00000000" w:rsidDel="00000000">
              <w:rPr>
                <w:vertAlign w:val="subscript"/>
                <w:rtl w:val="0"/>
              </w:rPr>
              <w:t xml:space="preserve">4</w:t>
            </w:r>
            <w:r w:rsidR="00000000" w:rsidRPr="00000000" w:rsidDel="00000000">
              <w:rPr>
                <w:rtl w:val="0"/>
              </w:rPr>
              <w:t xml:space="preserve">)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1,5 %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detaļas (ja nepieciešams): nitrātu slāpeklis (N-NO</w:t>
            </w:r>
            <w:r w:rsidR="00000000" w:rsidRPr="00000000" w:rsidDel="00000000">
              <w:rPr>
                <w:vertAlign w:val="subscript"/>
                <w:rtl w:val="0"/>
              </w:rPr>
              <w:t xml:space="preserve">3</w:t>
            </w:r>
            <w:r w:rsidR="00000000" w:rsidRPr="00000000" w:rsidDel="00000000">
              <w:rPr>
                <w:rtl w:val="0"/>
              </w:rPr>
              <w:t xml:space="preserve">) un 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kalcija nitrāts un 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Mg ir kristālu formā, papildina ar piezīmi "kristāliskā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nitrātu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Čīles salpetris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Ražots no tīrradņa Čīles salpetra, pamatsastāvdaļa –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nitrātu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ciānamīds, kalcija oksīds, nelielā daudzumā var saturēt amonija sāļus un 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no deklarētā slāpekļa ir ciānamīda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ciānamīds, kalcija oksīds, nelielā daudzumā var saturēt amonija sāļus un urīnvielu, kas papildināta ar nitrātu slāpekli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no deklarētā slāpekļa ir ciānamīda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minimālais saturs – 1 %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maksimālais saturs – 3 %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amonija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papildvielas – kalcija karbonāts (maltais kaļķakmens) un (vai) magnija karbonāts un kalcija karbonāts (maltais dolomīts)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un amonija slāpeklis katrs veido apmēram pusi no kopējā slāpekļa. Apzīmējums "kalcija-amonija nitrāts" paredzēts vienīgi minerālmēsliem, kas papildus amonija nitrātam satur tikai kalcija karbonātu (kaļķakmeni) un (vai) magnija karbonātu un kalcija karbonātu (dolomītu).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karbonātu minimālais saturs ir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Karbonātu tīrības pakāpe nav zemāka par 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 ja mēslošanas līdzeklis satur magnija karbonātu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un 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izteikts kā amonija un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Amonija-magnija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amonija sulfāts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un nitrātu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un magnija kompleksie sāļi (magnija karbonāts un/vai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(N-NH</w:t>
            </w:r>
            <w:r w:rsidR="00000000" w:rsidRPr="00000000" w:rsidDel="00000000">
              <w:rPr>
                <w:vertAlign w:val="subscript"/>
                <w:rtl w:val="0"/>
              </w:rPr>
              <w:t xml:space="preserve">4</w:t>
            </w:r>
            <w:r w:rsidR="00000000" w:rsidRPr="00000000" w:rsidDel="00000000">
              <w:rPr>
                <w:rtl w:val="0"/>
              </w:rPr>
              <w:t xml:space="preserve">) un nitrātu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(N-NO</w:t>
            </w:r>
            <w:r w:rsidR="00000000" w:rsidRPr="00000000" w:rsidDel="00000000">
              <w:rPr>
                <w:vertAlign w:val="subscript"/>
                <w:rtl w:val="0"/>
              </w:rPr>
              <w:t xml:space="preserve">3</w:t>
            </w:r>
            <w:r w:rsidR="00000000" w:rsidRPr="00000000" w:rsidDel="00000000">
              <w:rPr>
                <w:rtl w:val="0"/>
              </w:rPr>
              <w:t xml:space="preserve">)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 un iespējams 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amīdu (N-NH</w:t>
            </w:r>
            <w:r w:rsidR="00000000" w:rsidRPr="00000000" w:rsidDel="00000000">
              <w:rPr>
                <w:vertAlign w:val="subscript"/>
                <w:rtl w:val="0"/>
              </w:rPr>
              <w:t xml:space="preserve">2</w:t>
            </w:r>
            <w:r w:rsidR="00000000" w:rsidRPr="00000000" w:rsidDel="00000000">
              <w:rPr>
                <w:rtl w:val="0"/>
              </w:rPr>
              <w:t xml:space="preserve">) formā (ieskaitot biuretu).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1,2 % (lietošanai cietā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 (augu apsmidzināšanai)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izteikts amīdu slāpekļa (N-NH</w:t>
            </w:r>
            <w:r w:rsidR="00000000" w:rsidRPr="00000000" w:rsidDel="00000000">
              <w:rPr>
                <w:vertAlign w:val="subscript"/>
                <w:rtl w:val="0"/>
              </w:rPr>
              <w:t xml:space="preserve">2</w:t>
            </w:r>
            <w:r w:rsidR="00000000" w:rsidRPr="00000000" w:rsidDel="00000000">
              <w:rPr>
                <w:rtl w:val="0"/>
              </w:rPr>
              <w:t xml:space="preserve">) formā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Krotonilidendiurīnviela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urīnvielai reaģējot ar krotonaldehīdu, monomērs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 N ir krotonilidendiurīnvielas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vai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krotonilidendiurīnvielas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Izobutilēndiurīnviela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 ķīmiski, urīnvielai reaģējot ar izobutilēnaldehīdu, monomērs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 N ir izobutilēndiurīnvielas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vai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izobutilēndiurīnvielas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Urīnvielas formaldehīds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urīnvielai reaģējot ar formaldehīdu, pamatsastāvdaļa – urīnvielas formaldehīda molekulas, polimērs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deklarētā kopējā slāpekļa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31 % slāpekļa ir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un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 šķīstošs aukstā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urīnvielas formaldehīda slāpeklis, šķīstošs tikai karstā ūdenī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krotonilidendiurīnvielu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krotonilidendiurīnvielu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ir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krotonilidendiurīnvielas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formas,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krotonilidendiurīnvielas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izobutilēndiurīnvielu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izobutilēndiurīnvielu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no deklarētā kopējā slāpekļa ir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izobutilēndiurīnvielas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izobutilēndiurīnvielas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urīnvielas formaldehīdu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ir urīnvielas formaldehīda sastāvā, no kura vismaz 3/5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aukstā ūdenī šķīstošais 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tikai karstā ūdenī šķīstošais slāpeklis urīnvielas formaldehīda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 ar nitrifikācijas inhibitoru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satur amonija sulfātu un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amonija slāpekļa saturs – 18 %.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slāpekļa saturs diciāndiamīda sastāvā – 1,5 %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diciāndiamīda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informācija par lietošanas laiku un devu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sulfāta nitrāts ar nitrifikācijas inhibitoru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satur amonija sulfonitrātu un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slāpekļa saturs diciāndiamīda sastāvā – 1,5 %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diciāndiamīda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informācija par lietošanas laiku un devu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Urīnvielas-amonija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urīnvielas un amonija sulfāta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un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amonija slāpekļa saturs – 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sēra saturs – 4,8 %.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0,9 %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minētie slāpekļa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minēto slāpekļa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1.–23. punktā minētajiem slāpekļa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minēto slāpekļa minerālmēslu deklarējamie dati, mikroelementu saturs atbilstoši Ministru kabineta 2015. gada 1. septembra noteikumu Nr. 506 "Mēslošanas līdzekļu un substrātu identifikācijas, kvalitātes atbilstības novērtēšanas un tirdzniecības noteikumi" (turpmāk – noteikumi) 4. pielikumam, sekundāro barības elementu saturs atbilstoši minēto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Fosfora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(Granulētajiem minerālmēsliem granulometrisko sastāvu nosaka ar attiecīgu analītisko metodi)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143"/>
        <w:gridCol w:w="2143"/>
        <w:gridCol w:w="2335"/>
        <w:gridCol w:w="2239"/>
        <w:tblGridChange w:id="0">
          <w:tblGrid>
            <w:gridCol w:w="419"/>
            <w:gridCol w:w="2143"/>
            <w:gridCol w:w="2143"/>
            <w:gridCol w:w="2335"/>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sērskābi, pamatsastāvdaļas – kalcija dihidrogēnfosfāts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93 %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sērskābi un fosforskābi, pamatsastāvdaļas – kalcija dihidrogēnfosfāts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93 %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fosforskābi, pamatsastāvdaļa – kalcija dihidrogēnfosfāts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93 % deklarētā fosfora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sasmalcinātu fosforītu apstrādājot ar sērskābi vai fosforskābi, pamatsastāvdaļas – kalcija dihidrogēnfosfāts, kalcija 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40 %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Precipitāts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izgulsnējot fosforskābi no fosforu saturošiem iežiem vai kauliem, pamatsastāvdaļa – kalcija hidrogēnfosfāts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 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termofosfāts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paaugstinātā temperatūrā apstrādājot maltus fosforītus ar bāziskiem šķīdumiem un silīcijskābi, pamatsastāvdaļas – bāziskais kalcija fosfāts un kalcija silikāts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96 %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termiski apstrādājot un samaļot fosforītus un (vai) apatītus (amorfā formā), pamatsastāvdaļa – alumīnija un kalcija fosfāti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bāziskā amonija citrātā šķīstošais (pēc "Džūlija").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samaļot fosforītus, pamatsastāvdaļas – kalcija fosfāts un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55 %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divprocentīgā 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99 % iziet cauri sietam, kura acu izmērs ir 0,125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divprocentīgā 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materiāls, kas iziet cauri sietam, kura acu izmērs ir 0,063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(Tomasmilti)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dzelzs kausēšanas procesā, to pamatsastāvdaļas – kalcija silikāti-fosfāti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96 %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minētie fosfora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fosfora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1.–9. punktā minētajiem fosfora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fosfora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Kālija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143"/>
        <w:tblGridChange w:id="0">
          <w:tblGrid>
            <w:gridCol w:w="419"/>
            <w:gridCol w:w="2239"/>
            <w:gridCol w:w="2239"/>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pamatsastāvdaļas – kālija hlorīds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Bagātināta kālija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un bagātinot tos ar kālija hlorīdu, mehāniski sajaucot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būt norāde par ūdenī šķīstošā magnija (Mg) saturu, ja tas ir augstāks par 3,0 %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pamatsastāvdaļa –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Magniju saturošs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un pievienojot magnija sāļus, pamatsastāvdaļas – kālija hlorīds un magnija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kālija sāļiem, pamatsastāvdaļa – 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hlora (Cl) saturu nav nepieciešama, ja tas ir zemāks par 3 %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magnēzijs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kālija sāļiem, pievienojot magnija sāļus,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pamatsastāvdaļas – kālija sulfāts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hlora (Cl) saturu nav nepieciešama, ja tas ir zemāks par 3 %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 ar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kizerītu un pievienojot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(Mg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hlora (Cl) saturu nav nepieciešama, ja tas ir zemāks par 3 %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minētie kālija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kālija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1.–7. punktā minētajiem kālija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kālija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Kompleksie minerālmēsli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NPK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143"/>
        <w:tblGridChange w:id="0">
          <w:tblGrid>
            <w:gridCol w:w="419"/>
            <w:gridCol w:w="2239"/>
            <w:gridCol w:w="2239"/>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NPK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minerālmēslos,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NPK minerālmēslos: a) kuru sastāvā ir fosforītmilti vai superfoss, nedrīkst būt fosforu saturoši izdedži, kalcinētais fosfāts un alumīnija-kalcija fosfāti. 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un superfoss. 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(1.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minerālskābēs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no kura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NPK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fosfāti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kāda no 2.–5. slāpekļa formām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minerālmēsliem, kuros nav fosforu saturošu izdedžu, kalcinētā fosfāta, alumīnija-kalcija fosfāta, superfosa un fosforītmiltu, deklarē 1. un (vai)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NPK minerālmēsliem: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"Fosforītmiltus saturoši NPK minerālmēsli" vai "Superfosu saturoši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deklarē 1.,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"Alumīnija-kalcija fosfātu saturoši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NPK minerālmēsli satur tikai vienas formas fosfora minerālmēslus – fosforu saturošus izdedžus, kalcinēto fosfātu, alumīnija-kalcija fosfātu vai fosforītmiltus. Mēslošanas līdzekļu nosaukumā šīs būtiskās sastāvdaļas jānosauc;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nesatur dzīvnieku vai augu izcelsmes organiskos savienojumus, satur krotonilidenizobutilēndiurīnvielu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kopējā slāpekļa sastāv no 5., 6. vai 7. slāpekļa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no 7. slāpekļa formas daudzuma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minerālmēsliem,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nedrīkst pārsniegt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slāpekļa formām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minerālmēsliem, kuros nav fosforu saturošu izdedžu, kalcinētā fosfāta, alumīnija-kalcija fosfāta, superfosa un fosforītmiltu, deklarē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NPK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NP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335"/>
        <w:gridCol w:w="2143"/>
        <w:tblGridChange w:id="0">
          <w:tblGrid>
            <w:gridCol w:w="419"/>
            <w:gridCol w:w="2239"/>
            <w:gridCol w:w="2143"/>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NP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 minerālmēslos, kuros nav fosforu saturošu izdedžu, kalcinētā fosfāta, alumīnija-kalcija fosfātu,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minerālmēslos: a) kuru sastāvā ir fosforītmilti vai superfoss, nedrīkst būt fosforu saturoši izdedži, kalcinētais fosfāts un alumīnija-kalcija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fosforītmilti un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NP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kāda no 2.–5. slāpekļa formām ir ne mazāk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 minerālmēsliem, kuros nav fosforu saturošu izdedžu, kalcinētā fosfāta, alumīnija-kalcija fosfātu, superfosa un fosforītmiltu,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"Fosforītmiltus saturoši NP minerālmēsli" vai "Superfosu saturoši NP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deklarē 1., 3. un 5.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Tirdzniecībā šo minerālmēslu nosaukumā jābūt norādei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satur alumīnija-kalcija fosfātu".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 minerālmēsli satur tikai vienas formas fosfora minerālmēslus – fosforu saturošus izdedžus, kalcinēto fosfātu, alumīnija-kalcija fosfātu vai fosforītmiltus. Mēslošanas līdzekļu nosaukumā jānosauc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Tajos nav dzīvnieku vai augu izcelsmes organisko savienojumu. Tie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no deklarētā kopējā slāpekļa daudzuma ir 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no deklarētā 7. slāpekļa formas daudzuma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minerālmēslos, kuros nav fosforu saturošu izdedžu, kalcinētā fosfāta, alumīnija-kalcija fosfāta un superfosa,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nedrīkst pārsniegt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vai 4. slāpekļa forma, ja tās ir vairāk par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 5.–7. slāpekļa formām.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minerālmēsliem, kuros nav fosforu saturošu izdedžu, kalcinētā fosfāta, alumīnija-kalcija fosfāta, superfosa, deklarē 1. vai 2.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NP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NP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NK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335"/>
        <w:gridCol w:w="2143"/>
        <w:tblGridChange w:id="0">
          <w:tblGrid>
            <w:gridCol w:w="419"/>
            <w:gridCol w:w="2239"/>
            <w:gridCol w:w="2143"/>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sajaucot NK saturošus komponentus, nesatur dzīvnieku vai augu izcelsmes organiskos savienojumus,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slāpekļa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kopējā slāpekļa daudzuma ir 5., 6. vai 7. formas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deklarētā 7. formas slāpekļa daudzuma ir karstā ūdenī šķīstošais.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 5.–7. slāpekļa formām.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PK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sajaucot PK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un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PK minerālmēslos,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PK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nedrīkst būt fosforu saturoši izdedži, kalcinētais fosfāts un alumīnija-kalcija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fosforītmilti un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kas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PK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PK minerālmēslus, kuros nav fosforu saturošu izdedžu, kalcinētā fosfāta, alumīnija-kalcija fosfāta, superfosa un fosforītmiltu, deklarē saskaņā ar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PK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"PK minerālmēsli satur fosforītmiltus" vai "PK minerālmēsli satur superfosu";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PK minerālmēslos, kuru sastāvā ir alumīnija-kalcija fosfāts, deklarē 1.,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Tirdzniecībā minerālmēslu nosaukumā ir norāde "PK minerālmēsli, satur alumīnija-kalcija fosfātu".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NPK minerālmēsli satur tikai vienas formas fosfora minerālmēslus – fosforu saturošus izdedžus, kalcinēto fosfātu, alumīnija-kalcija fosfātu vai fosforītmiltus. Mēslošanas līdzekļu nosaukumā jānosauc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Hlora (Cl) saturu var deklarēt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 Šķidrie minerālmēsli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Vienkāršie šķidrie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dažādus komponentus, kas ir stabili atmosfēras spiedienā. Nesatur dzīvnieku vai augu izcelsmes organiskus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 izteikts kopējā slāpekļa formā. Ja ir tikai viena slāpekļa forma, tas izteikts nitrātu slāpekļa, amonija slāpekļa vai amīdu slāpekļa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 un nitrātu (N-NO</w:t>
            </w:r>
            <w:r w:rsidR="00000000" w:rsidRPr="00000000" w:rsidDel="00000000">
              <w:rPr>
                <w:vertAlign w:val="subscript"/>
                <w:rtl w:val="0"/>
              </w:rPr>
              <w:t xml:space="preserve">3</w:t>
            </w:r>
            <w:r w:rsidR="00000000" w:rsidRPr="00000000" w:rsidDel="00000000">
              <w:rPr>
                <w:rtl w:val="0"/>
              </w:rPr>
              <w:t xml:space="preserve">), amonija (N-NH</w:t>
            </w:r>
            <w:r w:rsidR="00000000" w:rsidRPr="00000000" w:rsidDel="00000000">
              <w:rPr>
                <w:vertAlign w:val="subscript"/>
                <w:rtl w:val="0"/>
              </w:rPr>
              <w:t xml:space="preserve">4</w:t>
            </w:r>
            <w:r w:rsidR="00000000" w:rsidRPr="00000000" w:rsidDel="00000000">
              <w:rPr>
                <w:rtl w:val="0"/>
              </w:rPr>
              <w:t xml:space="preserve">) un (vai) amīdu (N-NH</w:t>
            </w:r>
            <w:r w:rsidR="00000000" w:rsidRPr="00000000" w:rsidDel="00000000">
              <w:rPr>
                <w:vertAlign w:val="subscript"/>
                <w:rtl w:val="0"/>
              </w:rPr>
              <w:t xml:space="preserve">2</w:t>
            </w:r>
            <w:r w:rsidR="00000000" w:rsidRPr="00000000" w:rsidDel="00000000">
              <w:rPr>
                <w:rtl w:val="0"/>
              </w:rPr>
              <w:t xml:space="preserve">) slāpeklis, ja jebkura tā forma ir ne mazāk kā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var būt norāde "Zems biureta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nitrāta-urīnvielas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amonija nitrātu un 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Apmēram puse kopējā slāpekļa ir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 nitrātu, amonija un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var būt norāde "Zems biureta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nitrātu un amonija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 amonija slāpeklis (N-NH</w:t>
            </w:r>
            <w:r w:rsidR="00000000" w:rsidRPr="00000000" w:rsidDel="00000000">
              <w:rPr>
                <w:vertAlign w:val="subscript"/>
                <w:rtl w:val="0"/>
              </w:rPr>
              <w:t xml:space="preserve">4</w:t>
            </w:r>
            <w:r w:rsidR="00000000" w:rsidRPr="00000000" w:rsidDel="00000000">
              <w:rPr>
                <w:rtl w:val="0"/>
              </w:rPr>
              <w:t xml:space="preserve">),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Attiecīga norāde par izmantošanu: "Augu apsmidzināšanai", "Barības šķīdumu sagatavošanai", "Papildmēslošanai kopā ar laistīšanu"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nitrāta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Ķīmiski iegūta magnija nitrāta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pH –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nitrātu un amonija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Attiecīga norāde par izmantošanu: "Augu apsmidzināšanai", "Barības šķīdumu sagatavošanai", "Papildmēslošanai kopā ar laistīšanu"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vai urīnvielas formaldehīda un citu slāpekļa minerālmēslu (izņemot kalcija ciānamīdu, slāpekļa-kalcija ciānamīdu, amonija nitrātu un kalcija amonija nitrātu)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satura ir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 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suspensija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vai urīnvielas formaldehīda un citu slāpekļa minerālmēslu (izņemot kalcija ciānamīdu, slāpekļa-kalcija ciānamīdu, amonija nitrātu un kalcija amonija nitrātu)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no deklarētā kopējā slāpekļa satura ir urīnvielas formaldehīda sastāvā, no kura vismaz 3/5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tāda urīnvielas formaldehīda sastāvā, kurš šķīst aukstā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slāpeklis tāda urīnvielas formaldehīda sastāvā, kurš šķīst tikai karstā ūdenī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Amonjakūdens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izšķīdinot ūdenī gāzveida amonjaku. Var saturēt arī citus slāpekli saturošus sāļus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amonija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amonjaks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augstā spiedienā katalizatora klātbūtnē no molekulārā slāpekļa un ūdeņraža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minētie vienkāršie šķidrie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vienkāršo šķidro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1.–9. punktā minētajiem vienkāršajiem šķidrajiem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vienkāršo šķidro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Kompleksie šķidrie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šķīdinot ūdenī NPK saturošus komponentus. Stabils normālā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2.–4. slāpekļa forma ir vairāk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"Zems hlora saturs",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sastāvā nedrīkst būt fosforu saturoši izdedži, alumīnija-kalcija fosfāts, superfoss vai dabīgais fosforīts un (vai) apatīts.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vairāk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NP saturošus komponentus. Stabils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nedrīkst būt fosforu saturoši izdedži, alumīnija-kalcija fosfāts, kalcinētais fosfāts, superfoss un dabīgais fosforīts un (vai) apatīts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šķīdinot ūdenī. Stabils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izšķīdušā veidā, izšķīdināti ūdenī vai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šķīdinot ūdenī.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nedrīkst būt fosforu saturoši izdedži, alumīnija-kalcija fosfāts, kalcinētais fosfāts, superfoss un dabīgais fosforīts un (vai) apatīts.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minētie kompleksie šķidrie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minēto komplekso šķidro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1.–8. punktā minētajiem kompleksajiem šķidrajiem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minēto komplekso šķidro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 Sekundāros augu barības elementus (kalciju, magniju un sēru) saturošie mēslošanas līdzekļi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kalcija sulfātu saturošus iežus, ar dažādu hidratācijas pakāpi vai rūpnieciskas izcelsmes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 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 kopējais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80 % daļiņu iziet cauri sietam, kura acu izmērs ir 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99 % daļiņu iziet cauri sietam, kura acu izmēr ir 10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kopējais kalcijs (Ca)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Rūpnieciskas izcelsmes kalcija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 kopējais 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vēlama norāde "Augu apsmidzināšanai"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Elementārais sērs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Dabīgas izcelsmes vai rūpnieciski iegūts sērs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 kopējais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Dabīgi iegūts minerāls. Pamatsastāvdaļa – magnija sulfāta monohidrāts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līdzeklis, kura pamatsastāvdaļa – magnija sulfāta heptahidrāts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sulfāta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iegūtā magnija sulfāta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magnija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 kopējais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99 % daļiņu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iegūtā magnija hlorīda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kalcija saturs – 2,1 %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 ar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no kizerīta, pievienojot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(Mg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minētie sekundārie minerālmēsli ar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sekundāro minerālmēslu ar mikroelementiem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1.–7. punktā minētajiem sekundārajiem minerālmēsliem un pievienotajiem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sekundāro minerālmēslu deklarējamie dati, mikroelementu saturs atbilstoši noteikumu 4.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 Tikai mikroelementus saturoši mēslošanas līdzekļi (mikromēsli)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Bors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Borskābe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ar skābi iedarbojoties uz borātu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no boru saturošiem minerālmēsliem, pamatsastāvdaļa – kalcija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 kopējais bors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daļiņu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Bora etanolamīns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reaģējot borskābei ar etanolamīnu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ūdenī šķīstošais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Boru saturošu mēslošanas līdzekļu šķīdums vai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 un (vai) 1.b, un (vai) 1.d apakšpunktā minētā mēslošanas līdzekļa šķīdums vai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bors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tā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Kobalts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kobaltu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ar kobaltu saistītā minerālā anjona nosaukumu, piemēram, kobalta sulfāts, kobalta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kobaltu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8/10 deklarētā kobalta (Co)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 un (vai) 2.b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anjonu, ar kuru saistīts kobalts un (vai) helātu veidotājs,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helātu veidā, ja tāds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Varš</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saistīts varš, piemēram, vara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varu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 ūdenī šķīstošais varš (Cu), vismaz 8/10 deklarētā kobalta (Co) daudzuma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 un (vai) 3.b, un (vai) 3.c, un (vai) 3.d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 ja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mēslošanas līdzekļa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 ja tā daudzums ir vismaz 1/4 kopējā vara (Cu) daudzuma.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 un (vai) 3.d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minerālo anjonu, ar kuru varš (Cu) saistīts.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 un helātu veidā esošais vara daudzums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oksihlorīds [Cu</w:t>
            </w:r>
            <w:r w:rsidR="00000000" w:rsidRPr="00000000" w:rsidDel="00000000">
              <w:rPr>
                <w:vertAlign w:val="subscript"/>
                <w:rtl w:val="0"/>
              </w:rPr>
              <w:t xml:space="preserve">2</w:t>
            </w:r>
            <w:r w:rsidR="00000000" w:rsidRPr="00000000" w:rsidDel="00000000">
              <w:rPr>
                <w:rtl w:val="0"/>
              </w:rPr>
              <w:t xml:space="preserve">Cl(OH)</w:t>
            </w:r>
            <w:r w:rsidR="00000000" w:rsidRPr="00000000" w:rsidDel="00000000">
              <w:rPr>
                <w:vertAlign w:val="subscript"/>
                <w:rtl w:val="0"/>
              </w:rPr>
              <w:t xml:space="preserve">3</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kopējais varš (Cu)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Dzelzs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Dzelzi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dzelzi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 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Fe ir saistīta, piemēram, dzelzs sulfāts, dzelzs hlorīds, dzelzs citrāts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dzelzi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šķīstošā dzelzs (Fe), vismaz 8/10 deklarētā Fe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Dzelzi saturošs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 un (vai) 4.b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minerālo anjonu, ar kuru Fe ir saistīta,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helātu veidā, ja tāda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Mangāns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mangānu saturoši sāļi (Mn 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Mn ir saistīts, piemēram, mangāna sulfātu, mangāna hlorīdu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saistot mangānu helātu savienojumos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mangāns (Mn), vismaz 8/10 deklarētā Mn daudzuma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mangāna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80 %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mangāns (Mn)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 un 5.c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mangāna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 ja tā daudzums ir vismaz 1/4 no kopējā Mn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 un (vai) viena 5.b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minerālā anjona nosaukumu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 Mangāns helātu veidā, ja tāds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Molibdēns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ūdenī šķīstošais molibdēns (Mo)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ūdenī šķīstošais molibdēns (Mo)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 un 6.b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ūdenī šķīstošais molibdēns (Mo).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 un (vai) 6.b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molibdēns (Mo).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šķīdumā esošās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Cinks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cinku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saistīts Zn, piemēram, cinka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saistot cinku helātu savienojumos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cinks (Zn), vismaz 8/10 deklarētā Zn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cinka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80 %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cinks (Zn)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 un 7.c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 ja tā daudzums ir vismaz 1/4 no kopējā cinka (Zn)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 un (vai) viena 7.b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minerālā anjona nosaukumu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helātu veidā, ja tāds ir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F. Kaļķošanas materiāli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Oficiālais kaļķošanas materiāla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 neitralizācijas spēja, izteikta kā kalcija karbonāta (CaCO</w:t>
            </w:r>
            <w:r w:rsidR="00000000" w:rsidRPr="00000000" w:rsidDel="00000000">
              <w:rPr>
                <w:vertAlign w:val="subscript"/>
                <w:rtl w:val="0"/>
              </w:rPr>
              <w:t xml:space="preserve">3</w:t>
            </w:r>
            <w:r w:rsidR="00000000" w:rsidRPr="00000000" w:rsidDel="00000000">
              <w:rPr>
                <w:rtl w:val="0"/>
              </w:rPr>
              <w:t xml:space="preserve">)</w:t>
            </w:r>
            <w:r w:rsidR="00000000" w:rsidRPr="00000000" w:rsidDel="00000000">
              <w:rPr>
                <w:vertAlign w:val="superscript"/>
                <w:rtl w:val="0"/>
              </w:rPr>
              <w:t xml:space="preserve">*</w:t>
            </w:r>
            <w:r w:rsidR="00000000" w:rsidRPr="00000000" w:rsidDel="00000000">
              <w:rPr>
                <w:rtl w:val="0"/>
              </w:rPr>
              <w:t xml:space="preserve"> ekvivalents (% no dabīgi mitra kaļķošanas materiāla masas), un kaļķošanas materiālam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Kaļķošanas materiāla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karbonātkaļķi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 kalcija un magnija oksīdi, kalcija un magnija hidroksīdi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Kaļķakmens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 –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apdedzināts, malts dolomīts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 kalcija un magnija oksīdi, kalcija un magnija hidroksīdi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Elektrofiltru putekļi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rūpniecības atkritumprodukts, pamatsastāvdaļas – kalcija oksīdi un nedaudz magnija oksīdu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par 1 mm rupjāku daļiņu maksimālais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Degakmens pelni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Rūpniecības atkritumprodukts, pamatsastāvdaļas – kalcija oksīdi un nedaudz magnija oksīdu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par 1 mm rupjāku daļiņu maksimālais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Filtrkaļķi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rūpniecības atkritumprodukts, pamatsastāvdaļas – kalcija un magnija karbonāti. Nedaudz satur organiskās vielas, slāpekļa, fosfora, kālija un citus augu barības elementus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 –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 par 1 mm rupjāku daļiņu maksimālais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smiltis, rupjie dolomīta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smiltis, rupjie dolomīta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daļiņu frakciju saturu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kaļķošanas materiāli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Jebkuri iepriekš neminēti materiāli, kas noderīgi augsnes skābuma neitralizācijai un neatstāj nelabvēlīgu ietekmi uz augsni un augiem, kā arī iepriekš minētie kaļķošanas materiāli ar rupjāku granulometrisko sastāvu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kaļķošanas materiāla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izmēru daļiņu frakciju saturu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Lai neitralizācijas spēju izteiktu kā kalcija oksīda (CaO) ekvivalentu, lieto koeficientu 0,56.</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G. Organiskie un organominerālie mēslošanas līdzekļi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047"/>
        <w:gridCol w:w="2622"/>
        <w:gridCol w:w="2047"/>
        <w:tblGridChange w:id="0">
          <w:tblGrid>
            <w:gridCol w:w="419"/>
            <w:gridCol w:w="2239"/>
            <w:gridCol w:w="2047"/>
            <w:gridCol w:w="2622"/>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(sausnas, organiskās vielas un augu barības elementu minimālais saturs (% no dabīgi mitrā mēslošanas līdzekļa masas)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 kā arī papildus var norādīt augu barības elementu saturu sausnā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Sapropelis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un minerālvielu komplekss nogulums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Mājputnu 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 Nr. 1069/2009 un 142/2011 minētajām pārstrādes metodēm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30 %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 Nr. 1069/2009 un 142/2011 minētajām pārstrādes metodēm, bez citām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80 %,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Mājlopu ragi un nagi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 Nr. 1069/2009 un 142/2011 minētajām pārstrādes metodēm, bez citām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augu sēklu izspaidas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Atlikumi, kurus iegūst, izspiežot un (vai) ekstrahējot eļļu no sēklām, un kurus paredzēts lietot mēslojumam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Apstrādāti organiskie un organominerālie mēslošanas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gatavojot minerālmēslu un organisko mēslošanas līdzekļu maisījumus, tai skaitā no dzīvnieku izcelsmes blakusproduktiem, kas ražoti saskaņā ar regulā Nr. 1069/2009 un 142/2011 minētajām pārstrādes metodēm, un (vai) no žāvētiem vai citādi apstrādātiem augu izcelsmes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dzīvnieku izcelsmes blakusproduktiem, kas ražoti saskaņā ar regulā Nr. 1069/2009 un 142/2011 minētajām pārstrādes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sliekām pārstrādājot dzīvnieku izcelsmes blakusproduktus tai skaitā kūtsmēslus, kas pārstrādāti saskaņā ar regulu Nr. 1069/2009 un 142/2011, (turpmāk – slieku pārstrādāts organiskais mēslošanas līdzeklis);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žāvējot vai citādi apstrādājot augu izcelsmes produktus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organominerālie mēslošanas līdzekļi ar sekundārajiem elementiem un (vai)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 mēslošanas līdzekļi, kas iegūti no minerālmēsliem un augu izcelsmes organiskiem savienojumiem vai dzīvnieku izcelsmes blakusproduktiem, kuri ražoti saskaņā ar regulā Nr. 1069/2009 un 142/2011 minētajām pārstrādes metodēm, tos mehāniski sajaucot, un ar papildu apstrādi vai bez 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elementi un mikroelementi saskaņā ar noteikumu 4. un 11. pielikumu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organominerālie mēslošanas līdzekļi ar sekundārajiem elementiem un (vai)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 mēslošanas līdzekļi, kuru ražošanā izmantoti minerālmēsli un dzīvnieku izcelsmes blakusprodukti, kas ražoti saskaņā ar regulā Nr. 1069/2009 un 142/2011 minētajām pārstrādes metodēm, vai augu izcelsmes organiski savienojumi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kāda no slāpekļa formām ir vairāk par 1 %,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elementi un mikroelementi saskaņā ar noteikumu 4. un 11. pielikumu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Organiskais mēslošanas līdzeklis – materiāls, kas satur oglekli, ūdeņradi un skābekli un papildus vēl vismaz vienu vai vairākus augiem nepieciešamos barības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Organominerālie mēslošanas līdzekļi – organisko mēslošanas līdzekļu un minerālmēslu maisījums, kas tiek iegūts vienotā tehnoloģiskā procesā vai šos komponentus mehāniski sajaucot.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Apstrādāts organiskais mēslošanas līdzeklis – jebkurš organiskas (augu vai dzīvnieku valsts) izcelsmes mēslošanas līdzeklis, kas pārveidots fizikāli vai ķīmiski no tā sākotnējā stāvokļa, tai skaitā sliekām pārstrādājot organiskas izcelsmes izejvielas. Uz iepakotiem organiskajiem mēslošanas līdzekļiem tiek attiecinātas normatīvo aktu prasības par apstrādātiem organiskajiem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Organiskas izcelsmes produkts nav uzskatāms par organisku mēslošanas līdzekli, ja saskaņā ar norādēm par lietošanu etiķetē, marķējumā vai pavaddokumentā augam veģetācijas sezonas laikā vai augsnei gada laikā netiek nodrošināti vismaz 10 kg ha</w:t>
      </w:r>
      <w:r w:rsidR="00000000" w:rsidRPr="00000000" w:rsidDel="00000000">
        <w:rPr>
          <w:vertAlign w:val="superscript"/>
          <w:rtl w:val="0"/>
        </w:rPr>
        <w:t xml:space="preserve">-1</w:t>
      </w:r>
      <w:r w:rsidR="00000000" w:rsidRPr="00000000" w:rsidDel="00000000">
        <w:rPr>
          <w:rtl w:val="0"/>
        </w:rPr>
        <w:t xml:space="preserve"> N, 5 kg ha</w:t>
      </w:r>
      <w:r w:rsidR="00000000" w:rsidRPr="00000000" w:rsidDel="00000000">
        <w:rPr>
          <w:vertAlign w:val="superscript"/>
          <w:rtl w:val="0"/>
        </w:rPr>
        <w:t xml:space="preserve">-1</w:t>
      </w:r>
      <w:r w:rsidR="00000000" w:rsidRPr="00000000" w:rsidDel="00000000">
        <w:rPr>
          <w:rtl w:val="0"/>
        </w:rPr>
        <w:t xml:space="preserve">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5 kg ha</w:t>
      </w:r>
      <w:r w:rsidR="00000000" w:rsidRPr="00000000" w:rsidDel="00000000">
        <w:rPr>
          <w:vertAlign w:val="superscript"/>
          <w:rtl w:val="0"/>
        </w:rPr>
        <w:t xml:space="preserve">-1</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 Mēslošanas līdzekļi speciālajai izmantošanai</w:t>
      </w:r>
      <w:r w:rsidR="00000000" w:rsidRPr="00000000" w:rsidDel="00000000">
        <w:rPr>
          <w:vertAlign w:val="superscript"/>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1664"/>
        <w:gridCol w:w="3101"/>
        <w:gridCol w:w="2335"/>
        <w:tblGridChange w:id="0">
          <w:tblGrid>
            <w:gridCol w:w="419"/>
            <w:gridCol w:w="1760"/>
            <w:gridCol w:w="1664"/>
            <w:gridCol w:w="3101"/>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ar mikroelementiem vai bez 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NPK,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ūdenī šķīdinot PK,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NP,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3,29 % (N+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Sekundāro elementu un (vai) mikroelementu maisījums (šķīdumi, suspensijas, emulsijas)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šķīdinot ūdenī mikroelementus un (vai)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Cieto mikroelementu maisījums (ciets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mikroelementus un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kopējais saturs un ūdenī šķīstošā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helātu veidā, ja tādi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maisījums (šķīdumi, suspensijas, emulsijas)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šķīdinot ūdenī mikroelementus un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mikroelementa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ar vai bez sekundārajiem un (vai) mikroelementiem un organiskajiem savienojumiem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(vai) šķīdinot ūdenī NPK un (vai) mikroelementus, un (vai) sekundārus elementus un organiskos savienojumus saturošus komponentus.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 (šķīdumi, suspensijas, emulsijas) vai cieti mēslošanas līdzekļi, kuru ražošanā izmantoti minerālmēsli un augu vai dzīvnieku valsts izcelsmes komponenti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Organiskie savienojumi ne vairāk kā 3 % dabīgā materiālā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Galveno elementu, mikroelementu un sekundāro elementu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vai sausna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Speciālās nozīmes mēslošanas līdzekļi – mēslošanas līdzekļi, kas paredzēti specifiskiem mērķiem (segtajās platībās, dārzos, zālieniem, telpaugiem, mežkopībā utt.) vai arī jebkuriem kultūraugiem, izmantojot specifiskas lietošanas metodes (ārpussakņu mēslošana, ar laistīšanu utt.).</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Mikrobioloģiskie preparāti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3485"/>
        <w:gridCol w:w="3676"/>
        <w:tblGridChange w:id="0">
          <w:tblGrid>
            <w:gridCol w:w="419"/>
            <w:gridCol w:w="1760"/>
            <w:gridCol w:w="3485"/>
            <w:gridCol w:w="36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un mēslošanas līdzekļa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Mikrobioloģiskajam preparātam etiķetē vai marķējumā deklarējamie kvalitātes rādītāji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Azotobacter</w:t>
            </w:r>
            <w:r w:rsidR="00000000" w:rsidRPr="00000000" w:rsidDel="00000000">
              <w:rPr>
                <w:rtl w:val="0"/>
              </w:rPr>
              <w:t xml:space="preserve">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Gatavots no tīras baktēriju kultūras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Mikorizu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 sēnīšu kultūras, kas uzlabo barības vielu uzņemšanu noteiktām augu grupām un ģintīm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Mikroorganismus saturoši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ražoti, izmantojot no dabiskās vides izdalītu viena vai vairāku mikroorganismu tīrkultūru maisījumu. Pievienotas vielas, kas nodrošina mikroorganismu dzīvotspēju un optimālus glabāšanas apstākļus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KVV – koloniju veidojošās vienības.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 Augu augšanas veicinātāji</w:t>
      </w:r>
      <w:r>
        <w:tab/>
      </w:r>
      <w:r>
        <w:br/>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2143"/>
        <w:gridCol w:w="2910"/>
        <w:gridCol w:w="2239"/>
        <w:tblGridChange w:id="0">
          <w:tblGrid>
            <w:gridCol w:w="1472"/>
            <w:gridCol w:w="2143"/>
            <w:gridCol w:w="2910"/>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un mēslošanas līdzekļa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kā arī ražošanas blakusprodukti (u. tml.), kas satur bioloģiski aktīvus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Ciets vai šķidrs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Sekundāros elementus un mikroelementus deklarē, ja to saturs atbilst noteikumu 4. un 11.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Konkrētais bioloģiski aktīvais savienojums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veicinātājs – produkts, kas satur vienu vai vairākus tādus ķīmiskus elementus, kas tiek atzīti par augiem nepieciešamiem, kā arī vienu vai vairākus bioloģiski aktīvus savienojumus un kuru saskaņā ar ieteicamo mēslošanas līdzekļa devu lieto galvenokārt augu augšanas veicināšanai, nevis augu apgādei ar barības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 Substrāts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2526"/>
        <w:gridCol w:w="1856"/>
        <w:gridCol w:w="2431"/>
        <w:tblGridChange w:id="0">
          <w:tblGrid>
            <w:gridCol w:w="610"/>
            <w:gridCol w:w="1856"/>
            <w:gridCol w:w="2526"/>
            <w:gridCol w:w="1856"/>
            <w:gridCol w:w="243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substrāta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substrāta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(mitrums un citas substrātam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Substrāta pavaddokumentos, etiķetē vai marķējumā deklarējamie kvalitātes rādītāji (% no dabīgi mitrā substrāta masas)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Kūdras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kurā ir iestrādāts kaļķošanas materiāls un minerālmēsli, kā arī iespējamas sastāvdaļas, kas uzlabo substrāta struktūru un fizikālās īpašības, vai briketes un tabletes no šādas kūdras, izņemot sastāvdaļas, kas satur citas organiskas izcelsmes izejvielas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mitrums līdz 75 %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frakciju izmērs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Organisks augsnes aizvietotājs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Maisījums, kas satur dzīvnieku mēslus, kompostu, dzīvnieku izcelsmes izejvielas, kuras pārstrādātas saskaņā ar regulām Nr. 1069/2009 un Nr. 142/2011, vai kūdru un citus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mitrums līdz 75 %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Neorganisks jonapmaiņas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Sveķi, gēli vai māla granulas, kas piesūcinātas ar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Inerts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Minerālvate, perlīts, vermikulīts, keramzīts, granīta šķembas, sintētisko materiālu putas, kā arī kokosšķiedras un kokšķiedras u. 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Perlītam, vermikulītam un keramzītam – granulu vai frakciju izmērs (mm, no–līdz).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Minerālvatei: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ūdens ekstrakta no substrāta),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Kokosšķiedrai, kokšķiedrai – mitrums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21-TA-615</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21-TA-615</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noteikumu_konsolidētā_versija_p1_21-TA-615.docx</dc:title>
</cp:coreProperties>
</file>

<file path=docProps/custom.xml><?xml version="1.0" encoding="utf-8"?>
<Properties xmlns="http://schemas.openxmlformats.org/officeDocument/2006/custom-properties" xmlns:vt="http://schemas.openxmlformats.org/officeDocument/2006/docPropsVTypes"/>
</file>