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Pieļaujamās negatīvās novirzes no deklarētās mēslošanas līdzekļa un substrāta kvalitātes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071"/>
        <w:gridCol w:w="2526"/>
        <w:tblGridChange w:id="0">
          <w:tblGrid>
            <w:gridCol w:w="802"/>
            <w:gridCol w:w="6071"/>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līdzekļi un substrāti un to deklarētie kvalitātes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Pieļaujamās novirzes no deklarētajiem kvalitātes rādītājiem (masas procenti, ja nav norādīts citādi)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 (iegūts ķīmiski)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 (no tīrradņa ražots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nitrātus saturošs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līdz 32 % (ieskaitot)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virs 32 %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slāpekļa minerālmēsli (šķīdumi, suspensijas)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(K</w:t>
            </w:r>
            <w:r w:rsidR="00000000" w:rsidRPr="00000000" w:rsidDel="00000000">
              <w:rPr>
                <w:vertAlign w:val="subscript"/>
                <w:rtl w:val="0"/>
              </w:rPr>
              <w:t xml:space="preserve">2</w:t>
            </w:r>
            <w:r w:rsidR="00000000" w:rsidRPr="00000000" w:rsidDel="00000000">
              <w:rPr>
                <w:rtl w:val="0"/>
              </w:rPr>
              <w:t xml:space="preserve">O)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kainīta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nepārsniedz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(iegūti ķīmiski)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(iegūti mehāniski, sajaucot NPK un citus elementus saturošus komponentus)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taču nepārsniedzot 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0,72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elementi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 (Cl)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no deklarētā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un organominerālie mēslošanas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organiskie un organominerālie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r w:rsidR="00000000" w:rsidRPr="00000000" w:rsidDel="00000000">
              <w:rPr>
                <w:vertAlign w:val="subscript"/>
                <w:rtl w:val="0"/>
              </w:rPr>
              <w:t xml:space="preserve">KCl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frakcijas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frakcijas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 saskaņā ar Ministru kabineta 2015. gada 1. septembra noteikumu Nr. 506 "Mēslošanas līdzekļu un substrātu identifikācijas, kvalitātes atbilstības novērtēšanas un tirdzniecības noteikumi" 1. pielikumu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no deklarētā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aktīvie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Mikrobioloģiskie preparāti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konkrētas dzīvotspējīgo mikroorganismu grupas daudzums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skaita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Pieļaujamās novirzes nepieciešamas, lai varētu ņemt vērā mēslošanas līdzekļa kvalitātes svārstības, kas rodas mēslošanas līdzekļa ražošanā, apstrādē, paraugu ņemšanā un testēšanā.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Dažādu slāpekļa formu (NO</w:t>
      </w:r>
      <w:r w:rsidR="00000000" w:rsidRPr="00000000" w:rsidDel="00000000">
        <w:rPr>
          <w:vertAlign w:val="subscript"/>
          <w:rtl w:val="0"/>
        </w:rPr>
        <w:t xml:space="preserve">3</w:t>
      </w:r>
      <w:r w:rsidR="00000000" w:rsidRPr="00000000" w:rsidDel="00000000">
        <w:rPr>
          <w:rtl w:val="0"/>
        </w:rPr>
        <w:t xml:space="preserve">, NH</w:t>
      </w:r>
      <w:r w:rsidR="00000000" w:rsidRPr="00000000" w:rsidDel="00000000">
        <w:rPr>
          <w:vertAlign w:val="subscript"/>
          <w:rtl w:val="0"/>
        </w:rPr>
        <w:t xml:space="preserve">4</w:t>
      </w:r>
      <w:r w:rsidR="00000000" w:rsidRPr="00000000" w:rsidDel="00000000">
        <w:rPr>
          <w:rtl w:val="0"/>
        </w:rPr>
        <w:t xml:space="preserve"> u. c.) un dažādos šķīdinātājos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deklarētā satura pieļaujamā novirze ir 1/10 no to kopējā satura, maksimālā novirze – divi procenti no masas, ja kopējais attiecīgā augu barības elementa saturs atbilst Ministru kabineta 2015. gada 1. septembra noteikumu Nr. 506 "Mēslošanas līdzekļu un substrātu identifikācijas, kvalitātes atbilstības novērtēšanas un tirdzniecības noteikumi" (turpmāk – noteikumi) 1. pielikumā minētajām prasībām un šajā pielikumā norādītajai negatīvajai 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1. pielikuma H sadaļā minētajiem mēslošanas līdzekļiem augu barības elementu deklarētā satura pieļaujamā novirze ir 0,4 masas procenti, ja elementa saturs mēslošanas līdzeklī pārsniedz 2 %, un 1/5 no deklarētā satura, ja elementa saturs mēslošanas līdzeklī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šajā pielikumā nav noteikts citādi, tad attiecīgā deklarētā rādītāja pieļaujamā negatīvā novirze ir 1/5 no deklarētās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13.4., 13.5. un 13.6. apakšpunktā deklarētajiem rādītājiem tiek piemērota negatīvā un pozitīvā novirze.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noteikumu_konsolidētā_versija_p2_21-TA-615.docx</dc:title>
</cp:coreProperties>
</file>

<file path=docProps/custom.xml><?xml version="1.0" encoding="utf-8"?>
<Properties xmlns="http://schemas.openxmlformats.org/officeDocument/2006/custom-properties" xmlns:vt="http://schemas.openxmlformats.org/officeDocument/2006/docPropsVTypes"/>
</file>