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Nevēlamo piemaisījumu maksimāli pieļaujamā koncentrācija mēslošanas līdzeklī un substrātā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26.06.2018. noteikumiem Nr. 386)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2047"/>
        <w:gridCol w:w="1856"/>
        <w:gridCol w:w="2622"/>
        <w:tblGridChange w:id="0">
          <w:tblGrid>
            <w:gridCol w:w="706"/>
            <w:gridCol w:w="2143"/>
            <w:gridCol w:w="2047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Mēslošanas līdzeklis vai substrāts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 (izsakot uz absolūti sausu paraugu), ja nav noteikts citādi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Noteikšanas metode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nitrāts ar augstu (vairāk par 28 %) slāpekļa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hlorūdeņražskābē, kuras blīvums 20 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temperatūrā ir 1,18 g/ml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 masas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ūdens ekstraktā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Fosforu saturošie minerālmēsli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mg Cd/kg 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kaļķošanas materiāli, un augu augšanas veicinātāji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augu augšanas veicinātāji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plastmasas, stikla vai metāla daļiņas, kas ir lielākas par 4 mm</w:t>
            </w:r>
            <w:r w:rsidR="00000000" w:rsidRPr="00000000" w:rsidDel="00000000">
              <w:rPr>
                <w:vertAlign w:val="superscript"/>
                <w:rtl w:val="0"/>
              </w:rPr>
              <w:t xml:space="preserve">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 masas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 </w:t>
            </w:r>
            <w:r w:rsidR="00000000" w:rsidRPr="00000000" w:rsidDel="00000000">
              <w:rPr>
                <w:vertAlign w:val="superscript"/>
                <w:rtl w:val="0"/>
              </w:rPr>
              <w:t xml:space="preserve">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(Cr)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  <w:r w:rsidR="00000000" w:rsidRPr="00000000" w:rsidDel="00000000">
              <w:rPr>
                <w:vertAlign w:val="superscript"/>
                <w:rtl w:val="0"/>
              </w:rPr>
              <w:t xml:space="preserve">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KVV/g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svešķermeņi (stikls, metāls, plastmasa, kauli, akmeņi)</w:t>
            </w:r>
            <w:r w:rsidR="00000000" w:rsidRPr="00000000" w:rsidDel="00000000">
              <w:rPr>
                <w:vertAlign w:val="superscript"/>
                <w:rtl w:val="0"/>
              </w:rPr>
              <w:t xml:space="preserve">(6)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masas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(1)</w:t>
      </w:r>
      <w:r w:rsidR="00000000" w:rsidRPr="00000000" w:rsidDel="00000000">
        <w:rPr>
          <w:rtl w:val="0"/>
        </w:rPr>
        <w:t xml:space="preserve"> Nosaka, ja mēslošanas līdzeklis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(2)</w:t>
      </w:r>
      <w:r w:rsidR="00000000" w:rsidRPr="00000000" w:rsidDel="00000000">
        <w:rPr>
          <w:rtl w:val="0"/>
        </w:rPr>
        <w:t xml:space="preserve"> Nosaka, ja mēslošanas līdzeklis ir cietā formā.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(3)</w:t>
      </w:r>
      <w:r w:rsidR="00000000" w:rsidRPr="00000000" w:rsidDel="00000000">
        <w:rPr>
          <w:rtl w:val="0"/>
        </w:rPr>
        <w:t xml:space="preserve"> Nosaka mikrobioloģiskajam preparātam, kura ražošanā ir izmantotas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(4) </w:t>
      </w:r>
      <w:r w:rsidR="00000000" w:rsidRPr="00000000" w:rsidDel="00000000">
        <w:rPr>
          <w:rtl w:val="0"/>
        </w:rPr>
        <w:t xml:space="preserve">Nosaka substrātam, kas satur organiskas izcelsmes izejvielas (izņemot neorganiskajam jonapmaiņas un inertajam substrātam).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(5)</w:t>
      </w:r>
      <w:r w:rsidR="00000000" w:rsidRPr="00000000" w:rsidDel="00000000">
        <w:rPr>
          <w:rtl w:val="0"/>
        </w:rPr>
        <w:t xml:space="preserve"> Nosaka substrātam, kas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(6)</w:t>
      </w:r>
      <w:r w:rsidR="00000000" w:rsidRPr="00000000" w:rsidDel="00000000">
        <w:rPr>
          <w:rtl w:val="0"/>
        </w:rPr>
        <w:t xml:space="preserve"> Nosaka substrātam cietā formā (izņemot neorganiskajam jonapmaiņas un inertajam substrātam).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