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Ar pārtikas produktiem pārnēsājamas mājputnu infekcijas slimības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2"/>
        <w:gridCol w:w="2570"/>
        <w:gridCol w:w="6198"/>
        <w:tblGridChange w:id="0">
          <w:tblGrid>
            <w:gridCol w:w="422"/>
            <w:gridCol w:w="2570"/>
            <w:gridCol w:w="619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b w:val="1"/>
                <w:rtl w:val="0"/>
              </w:rPr>
              <w:t xml:space="preserve">Infekcijas slimības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b w:val="1"/>
                <w:rtl w:val="0"/>
              </w:rPr>
              <w:t xml:space="preserve">Infekcijas slimības ierosinātājs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Salmoneloze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i w:val="1"/>
                <w:rtl w:val="0"/>
              </w:rPr>
              <w:t xml:space="preserve">Salmonella enteritidis, Salmonella typhimurium, tostarp monofāziski Salmonella typhimurium ar antigēna formulu 1,4,[5],12:i:-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Tuberkuloze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i w:val="1"/>
                <w:rtl w:val="0"/>
              </w:rPr>
              <w:t xml:space="preserve">Mycobacterium avium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22-TA-2489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22-TA-2489</w:t>
    </w:r>
    <w:r>
      <w:br/>
    </w:r>
    <w:r w:rsidR="00000000" w:rsidRPr="00000000" w:rsidDel="00000000">
      <w:rPr>
        <w:rtl w:val="0"/>
      </w:rPr>
      <w:t xml:space="preserve">Izdrukāts 29.07.2026. 22.09 - 1.0.VK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noteikumu_projekts_p1_22-TA-2489.docx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