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36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0"/>
        <w:gridCol w:w="5092"/>
        <w:gridCol w:w="5906"/>
        <w:tblGridChange w:id="0">
          <w:tblGrid>
            <w:gridCol w:w="2380"/>
            <w:gridCol w:w="5092"/>
            <w:gridCol w:w="5906"/>
          </w:tblGrid>
        </w:tblGridChange>
      </w:tblGrid>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50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4"/>
        <w:gridCol w:w="7111"/>
        <w:gridCol w:w="6214"/>
        <w:tblGridChange w:id="0">
          <w:tblGrid>
            <w:gridCol w:w="1284"/>
            <w:gridCol w:w="7111"/>
            <w:gridCol w:w="6214"/>
          </w:tblGrid>
        </w:tblGridChange>
      </w:tblGrid>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Interešu izglītības iestādēs izglītojamo skaitam piemēro koeficientu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Vispārējās izglītības iestādēs kopējā izglītojamo skaitā iekļauj piecgadīgos un sešgadīgos izglītojamos, bet speciālajās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To izglītības iestāžu vadītāju amata algu, kuras īsteno vispārējās un profesionālās izglītības programmas ieslodzījuma vietās, nosaka par vienu pakāpi augstāku.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23-TA-2259</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23-TA-2259</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noteikumu_konsolidētā_versija_p1_23-TA-2259.docx</dc:title>
</cp:coreProperties>
</file>

<file path=docProps/custom.xml><?xml version="1.0" encoding="utf-8"?>
<Properties xmlns="http://schemas.openxmlformats.org/officeDocument/2006/custom-properties" xmlns:vt="http://schemas.openxmlformats.org/officeDocument/2006/docPropsVTypes"/>
</file>