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21. novembrī (prot. Nr. 58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Zemkopības ministrijai finansējumu 381 821 </w:t>
      </w:r>
      <w:r w:rsidR="00000000" w:rsidRPr="00000000" w:rsidDel="00000000">
        <w:rPr>
          <w:i w:val="1"/>
          <w:rtl w:val="0"/>
        </w:rPr>
        <w:t xml:space="preserve">euro</w:t>
      </w:r>
      <w:r w:rsidR="00000000" w:rsidRPr="00000000" w:rsidDel="00000000">
        <w:rPr>
          <w:rtl w:val="0"/>
        </w:rPr>
        <w:t xml:space="preserve"> apmērā, lai novērstu plūdu apdraudējumu applūstošajās platībās un valsts sabiedrība ar ierobežotu atbildību "Zemkopības ministrijas nekustamie īpašumi" nodrošinātu pilnvērtīgu valsts funkciju un saistību izpildi, kā arī 2023. gada ceturtajā ceturksnī varētu nodrošināt poldera sūkņu staciju darbībai nepieciešamo elektroenerģiju.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23-TA-2804</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23-TA-2804</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rīkojuma_projekts_23-TA-2804.docx</dc:title>
</cp:coreProperties>
</file>

<file path=docProps/custom.xml><?xml version="1.0" encoding="utf-8"?>
<Properties xmlns="http://schemas.openxmlformats.org/officeDocument/2006/custom-properties" xmlns:vt="http://schemas.openxmlformats.org/officeDocument/2006/docPropsVTypes"/>
</file>