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22.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475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Projekta iesnieguma vērtēšanas kritēriji Eiropas Savienības Atveseļošanas un noturības mehānisma plāna investīcijas 3.1.2.3.i. "Ilgstošas sociālās aprūpes pakalpojuma noturība un nepārtrauktība: jaunu ģimeniskai videi pietuvinātu aprūpes pakalpojumu sniedzēju attīstība pensijas vecuma personām" otrās kārtas ietvaros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08.04.2025. noteikumu Nr. 219 redakcijā)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19"/>
        <w:gridCol w:w="4819"/>
        <w:gridCol w:w="4819"/>
        <w:gridCol w:w="4521"/>
        <w:gridCol w:w="4521"/>
        <w:tblGridChange w:id="0">
          <w:tblGrid>
            <w:gridCol w:w="4819"/>
            <w:gridCol w:w="4819"/>
            <w:gridCol w:w="4819"/>
            <w:gridCol w:w="4521"/>
            <w:gridCol w:w="4521"/>
          </w:tblGrid>
        </w:tblGridChange>
      </w:tblGrid>
      <w:tr>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 IZSLĒGŠANAS KRITĒRIJI</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Kritēriju ietekme uz lēmuma pieņemšanu (N</w:t>
            </w:r>
            <w:r w:rsidR="00000000" w:rsidRPr="00000000" w:rsidDel="00000000">
              <w:rPr>
                <w:b w:val="1"/>
                <w:vertAlign w:val="superscript"/>
                <w:rtl w:val="0"/>
              </w:rPr>
              <w:t xml:space="preserve">1</w:t>
            </w:r>
            <w:r w:rsidR="00000000" w:rsidRPr="00000000" w:rsidDel="00000000">
              <w:rPr>
                <w:b w:val="1"/>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uz projekta iesnieguma iesniegšanas un atbalsta piešķiršanas brīdi</w:t>
            </w:r>
            <w:r w:rsidR="00000000" w:rsidRPr="00000000" w:rsidDel="00000000">
              <w:rPr>
                <w:vertAlign w:val="superscript"/>
                <w:rtl w:val="0"/>
              </w:rPr>
              <w:t xml:space="preserve">2</w:t>
            </w:r>
            <w:r w:rsidR="00000000" w:rsidRPr="00000000" w:rsidDel="00000000">
              <w:rPr>
                <w:rtl w:val="0"/>
              </w:rPr>
              <w:t xml:space="preserve"> atbilst izslēgšanas kritērijiem, kas noteikti Eiropas Parlamenta un Padomes 2024. gada 23. septembra Regulas (ES, Euratom) 2024/2509 par finanšu noteikumiem, ko piemēro Savienības vispārējam budžetam (pārstrādāta redakcija), 138. panta 1. un 4. punktā</w:t>
            </w:r>
            <w:r w:rsidR="00000000" w:rsidRPr="00000000" w:rsidDel="00000000">
              <w:rPr>
                <w:vertAlign w:val="superscript"/>
                <w:rtl w:val="0"/>
              </w:rPr>
              <w:t xml:space="preserve">3</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 ATBILSTĪBAS KRITĒRIJI</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Kritēriju ietekme uz lēmuma pieņemšanu (P</w:t>
            </w:r>
            <w:r w:rsidR="00000000" w:rsidRPr="00000000" w:rsidDel="00000000">
              <w:rPr>
                <w:b w:val="1"/>
                <w:vertAlign w:val="superscript"/>
                <w:rtl w:val="0"/>
              </w:rPr>
              <w:t xml:space="preserve">4</w:t>
            </w:r>
            <w:r w:rsidR="00000000" w:rsidRPr="00000000" w:rsidDel="00000000">
              <w:rPr>
                <w:b w:val="1"/>
                <w:rtl w:val="0"/>
              </w:rPr>
              <w:t xml:space="preserve">, N</w:t>
            </w:r>
            <w:r w:rsidR="00000000" w:rsidRPr="00000000" w:rsidDel="00000000">
              <w:rPr>
                <w:b w:val="1"/>
                <w:vertAlign w:val="superscript"/>
                <w:rtl w:val="0"/>
              </w:rPr>
              <w:t xml:space="preserve">5</w:t>
            </w:r>
            <w:r w:rsidR="00000000" w:rsidRPr="00000000" w:rsidDel="00000000">
              <w:rPr>
                <w:b w:val="1"/>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atbilst noteikumos par Eiropas Savienības Atveseļošanas un noturības mehānisma plāna 3.1. reformu un investīciju virziena "Reģionālā politika" 3.1.2. reformas "Sociālo un nodarbinātības pakalpojumu pieejamība minimālo ienākumu reformas atbalstam" 3.1.2.3.i. investīcijas "Ilgstošas sociālās aprūpes pakalpojumu noturība un nepārtrauktība: jaunu ģimeniskai videi pietuvinātu aprūpes pakalpojumu sniedzēju attīstība pensijas vecuma personām" otrās kārtas īstenošanu un uzraudzību (turpmāk – noteikumi) noteiktajām prasībām</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iesniedzējam Latvijas Republikā nav Valsts ieņēmumu dienesta administrēto nodokļu parādu</w:t>
            </w:r>
            <w:r w:rsidR="00000000" w:rsidRPr="00000000" w:rsidDel="00000000">
              <w:rPr>
                <w:vertAlign w:val="superscript"/>
                <w:rtl w:val="0"/>
              </w:rPr>
              <w:t xml:space="preserve">6</w:t>
            </w:r>
            <w:r w:rsidR="00000000" w:rsidRPr="00000000" w:rsidDel="00000000">
              <w:rPr>
                <w:rtl w:val="0"/>
              </w:rPr>
              <w:t xml:space="preserve">, tai skaitā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 izņemot nodokļu maksājumus, kuru maksāšanas termiņš saskaņā ar likuma "Par nodokļiem un nodevām" 24. panta pirmo, 1.</w:t>
            </w:r>
            <w:r w:rsidR="00000000" w:rsidRPr="00000000" w:rsidDel="00000000">
              <w:rPr>
                <w:vertAlign w:val="superscript"/>
                <w:rtl w:val="0"/>
              </w:rPr>
              <w:t xml:space="preserve">3</w:t>
            </w:r>
            <w:r w:rsidR="00000000" w:rsidRPr="00000000" w:rsidDel="00000000">
              <w:rPr>
                <w:rtl w:val="0"/>
              </w:rPr>
              <w:t xml:space="preserve"> un 1.</w:t>
            </w:r>
            <w:r w:rsidR="00000000" w:rsidRPr="00000000" w:rsidDel="00000000">
              <w:rPr>
                <w:vertAlign w:val="superscript"/>
                <w:rtl w:val="0"/>
              </w:rPr>
              <w:t xml:space="preserve">7 </w:t>
            </w:r>
            <w:r w:rsidR="00000000" w:rsidRPr="00000000" w:rsidDel="00000000">
              <w:rPr>
                <w:rtl w:val="0"/>
              </w:rPr>
              <w:t xml:space="preserve">daļu ir pagarināts, sadalīts termiņos, atlikts vai atkārtoti sadalīts termiņos vai attiecībā uz kuriem ir noslēgts vienošanās līgums saskaņā ar minētā likuma 41. pantu</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iesnieguma mērķis atbilst noteikumos noteiktajam mērķim</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plānotās darbības atbilst noteikumos minētajām atbalstāmajām darbībām, projekta darbībām noteikti atbilstoši sasniedzamie rezultāti</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paredzētais Atveseļošanas fonda finansējums vienai ēkai nepārsniedz noteikumos minēto finansējumu, kopējais Atveseļošanas fonda finansējums ir noteikts atbilstoši projektā paredzētajam ēku skaitam</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norādītie finansējuma avoti atbilst noteikumu nosacījumiem</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plānotās izmaksas atbilst noteikumos minētajām attiecināmajām izmaksām, tās ir pamatotas, aritmētiski precīzas un tieši saistītas ar projekta mērķa un mērķrādītāju sasniegšanu</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paredzēta noteikumu 7.2. apakšpunktā minētā mērķrādītāja sasniegšana noteikumos noteiktajā termiņā, mērķrādītāja vērtība ir precīzi noteikta, pamatota, izmērāma un sekmē noteikumos noteiktā investīcijas mērķa sasniegšanu</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ir aprakstīta projekta īstenošanas kapacitāte, tai skaitā norādīts projekta administrēšanai un īstenošanai nepieciešamais personāls un sniegts tā apraksts, norādīta projekta iesniedzēja finansēšanas kapacitāte, kā arī sniegts projekta īstenošanas risku izvērtējums un noteikti pasākumi risku mazināšanai</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atbilstoši noteikumos minētajiem termiņiem piecus gadus pēc noslēguma maksājuma veikšanas apņemas nodrošināt pakalpojumu sniegšanu mērķa grupas personām, tai skaitā nodrošināt nepieciešamos līdzekļus projekta ietvaros izveidoto ēku un pakalpojuma uzturēšanai</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īstenošanas termiņš atbilst noteikumos noteiktajam projekta īstenošanas termiņam</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ir paredzētas darbības, kas veicina principa "nenodarīt būtisku kaitējumu" ievērošanu</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ir norādīts, ka sociālā pakalpojuma sniegšanas vieta ir plānota atbilstoši ģimeniskai videi pietuvināta pakalpojuma principiem (klientiem ir pieejama dzīvojamā istaba un virtuve, kur uzturas visi, tai skaitā darbinieks ar specifiskiem uzdevumiem, vienlaikus katram klientam ir arī sava personiskā telpa – guļamistaba (vienvietīga vai divvietīga))</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ir norādīts, ka katra ēka tiks aprīkota vismaz ar noteikumos noteikto minimālo aprīkojumu</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ir norādīts, ka sociālā pakalpojuma sniegšanas vietā plānots nodrošināt mājokli, ēdināšanu, drošību, sociālo aprūpi un rehabilitāciju, medikamentu lietošanas uzraudzību, kopības sajūtas radīšanu, bet ģimenes ārsta vizītes un citus speciālistus – ārpus pakalpojuma sniegšanas vietas/ārpakalpojumā</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ir norādīts, kā sociālā pakalpojuma sniegšanas vietā tiks nodrošināta klientu dienas ritma pielāgošana ģimenes dzīvei, saglabāta personas kontrole pār savu dzīvi un personas pašaprūpes spēju uzturēšana</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ir norādīts pakalpojuma sniegšanai nepieciešamo cilvēkresursu nodrošināšanas (sociālais darbinieks, sociālais aprūpētājs, aprūpētāji u. c.) plāns/prognoze</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ir norādīts, kā pakalpojuma sniegšanā iesaistītajiem speciālistiem tiks nodrošinātas zināšanas par ģimeniskai videi pietuvināta pakalpojuma sniegšanas principiem un specifisku aprūpes vajadzību nodrošināšanu klientiem (piemēram, personām ar demenci, personām ar smagiem pašaprūpes traucējumiem)</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plānotais apkārtējās teritorijas iekārtojums paredz iespējas klientu aktīvai brīvā laika pavadīšanai ārpus telpām (piemēram, celiņi pastaigām, soliņi, nojumes, iespēja darboties dārzā u. c.)</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plānotais apkārtējās teritorijas iekārtojums paredz aprīkojumu fizisku aktivitāšu veikšanai</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paredzēta digitālo risinājumu nodrošināšana pakalpojuma sniegšanā</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plānotas darbības vides piekļūstamības nodrošināšanai gan pakalpojuma sniegšanas vietā (iekštelpās un ārtelpā), gan ieejai/iebrauktuvei no ielas/ceļa</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norādīts, kā tiks nodrošināta pakalpojuma kvalitātes un klientu dzīves kvalitātes uzraudzība</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norādīts, ka finansējuma saņēmējam ir īpašuma tiesības vai lietošanas tiesības uz termiņu, kas nav īsāks par pieciem gadiem no projektā veiktā noslēguma maksājuma datuma, uz nekustamo īpašumu, kurā tiks veikti ieguldījumi</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 KVALITĀTES KRITĒRIJI</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Apakškritēriji/punktu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Maksimālais iegūstamais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punktu skaits un punktu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piešķiršanas kārtība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Minimālais nepieciešamais punktu skaits</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Iedzīvotāju virs darbspējas vecuma skaits pašvaldības teritorijā</w:t>
            </w:r>
            <w:r w:rsidR="00000000" w:rsidRPr="00000000" w:rsidDel="00000000">
              <w:rPr>
                <w:vertAlign w:val="superscript"/>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3.1.1. Darbspējas vecumu pārsniegušo iedzīvotāju skaits pašvaldības teritorijā ir 10 000 vai vairāk – 2</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V</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3.1.2. Darbspējas vecumu pārsniegušo iedzīvotāju skaits pašvaldības teritorijā ir mazāks par 10 000, bet lielāks par 5000 – 1</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3.1.3. Darbspējas vecumu pārsniegušo iedzīvotāju skaits pašvaldības teritorijā ir mazāks par 5 000 – 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Iedzīvotāju virs darbspējas vecuma īpatsvars pašvaldības teritorijā</w:t>
            </w:r>
            <w:r w:rsidR="00000000" w:rsidRPr="00000000" w:rsidDel="00000000">
              <w:rPr>
                <w:vertAlign w:val="superscript"/>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3.2.1. Darbspējas vecumu pārsniegušo iedzīvotāju īpatsvars pašvaldības teritorijā ir virs Latvijas vidējā rādītāja (21,24 %) – 2</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V</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3.2.2. Darbspējas vecumu pārsniegušo iedzīvotāju īpatsvars pašvaldības teritorijā ir Latvijā vidējā rādītāja līmenī (21,24 %) vai zem tā, bet ne mazāks par 20 % – 1</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3.2.3. Darbspējas vecumu pārsniegušo iedzīvotāju īpatsvars pašvaldības teritorijā ir mazāks par 20 % – 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Pašvaldībā ir pieprasījums pēc ģimeniskai videi pietuvinātiem ilgstošas aprūpes pakalpojumiem pensijas vecuma personām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 Projekta iesniegumā izvērtēts pašvaldības iedzīvotāju apmierināto un neapmierināto pieprasījumu daudzums pēc sociālās aprūpes pakalpojumiem pensijas vecuma personām ar aprūpes vajadzībām un pamatojums ģimeniskai videi pietuvināta aprūpes pakalpojuma nepieciešamībai konkrētajā pašvaldības teritorijā – 4</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 Projekta iesniegumā sniegts pamatojums prognozēm par sociālo pakalpojumu sniedzēja noslodzes nodrošināšanu ilgtermiņā – 2</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 Projekta iesniegumā nav izvērtēts pieprasījums pēc ģimeniskai videi pietuvinātiem ilgstošas aprūpes pakalpojumiem pensijas vecuma personām un nav pamatota ģimeniskai videi pietuvināta aprūpes pakalpojuma nepieciešamība konkrētajā pašvaldības teritorijā – 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Plānotais mērķa grupas personu skaits plānotajā pakalpojuma sniegšanas vietā (adresē)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3.4.1. Norādītajā sociālā pakalpojuma sniegšanas adresē tiks veidotas mazāk nekā 3 mājas ne vairāk kā 16 klientiem katrā</w:t>
            </w:r>
            <w:r w:rsidR="00000000" w:rsidRPr="00000000" w:rsidDel="00000000">
              <w:rPr>
                <w:vertAlign w:val="superscript"/>
                <w:rtl w:val="0"/>
              </w:rPr>
              <w:t xml:space="preserve">9</w:t>
            </w:r>
            <w:r w:rsidR="00000000" w:rsidRPr="00000000" w:rsidDel="00000000">
              <w:rPr>
                <w:rtl w:val="0"/>
              </w:rPr>
              <w:t xml:space="preserve"> – 3</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V</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3.4.2. Norādītajā pakalpojuma sniegšanas adresē tiks veidotas 3 mājas ne vairāk kā 16 klientiem katrā – 1</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3.4.3. Norādītajā pakalpojuma sniegšanas adresē tiks veidotas vairāk nekā 3 mājas vai vairāk nekā 16 klientiem katrā – 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Sociālā pakalpojuma sniegšanas teritorijas (adrese) pieejamība ar sabiedrisko transportu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3.5.1. Norādītā sociālā pakalpojuma sniegšanas adrese ir ērti pieejama ar sabiedrisko transportu – projekta iesniegumā norādītais attālums līdz sabiedriskajam transportam ir viegli sasniedzams, ejot kājām vai izmantojot tehniskos palīglīdzekļus (nav lielāks par 1 km), transporta kursēšanas biežums ir vairākas reizes dienā katrā virzienā, nodrošinot iespēju nokļūt līdz administratīvajam centram un vispārējiem pakalpojumiem – turp un atpakaļ vienas dienas laikā – 3</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V</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3.5.2. Norādītās sociālā pakalpojuma sniegšanas adreses pieejamība ar sabiedrisko transportu ir daļēja – projekta iesniegumā norādītais attālums līdz sabiedriskajam transportam nav viegli sasniedzams, ejot kājām vai izmantojot tehniskos palīglīdzekļus (lielāks par 1 km), vai transporta kursēšanas biežums ir vienu reizi dienā katrā virzienā – 1</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3.5.3. Norādītā sociālā pakalpojuma sniegšanas adrese nav pieejama ar sabiedrisko transportu – projekta iesniegumā norādītais attālums līdz sabiedriskajam transportam nav sasniedzams, ejot kājām vai izmantojot tehniskos palīglīdzekļus, vai transporta kursēšanas biežums ir retāk nekā vienu reizi dienā – 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Veidojamā sociālā pakalpojuma sniegšanas vieta plānota integrētā vidē, ņemot vērā pašvaldībās esošo vispārējo pakalpojumu (ārstniecības iestādes, kultūras iestādes u. c.) pieejamību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3.6.1. Projekta iesniegumā ir norādīts, ka sociālā pakalpojuma sniegšanas vietai ir viegli pieejami (sasniedzami) vispārējie pakalpojumi, ko izmanto pārējā sabiedrība, – ārsts, fizioterapija u. c. medicīniskās aprūpes iespējas, veikali, pastaigu vietas, kultūras iestādes un citas publiskas telpas, piemēram, kapela vai dievnams, relaksācijas iespējas, frizieris, nodarbību un brīvā laika pavadīšanas iespējas, infrastruktūra – projekta iesniegumā norādīts attālums līdz ārstniecības iestādēm, veikalam un citām publiskajām vietām, sniegta informācija par ceļu segumu un vides piekļūstamību. Personai ir iespēja tos sasniegt saviem spēkiem vai ar aprūpētāja atbalstu, tai skaitā izmantojot sabiedrisko transportu, – 4</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V</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3.6.2. Projekta iesniegumā ir norādīts, ka sociālā pakalpojuma sniegšanas vietai ir pieejami (sasniedzami) atsevišķi vispārējie pakalpojumi, ko izmanto pārējā sabiedrība, – ārsts, fizioterapija u. c. medicīniskās aprūpes iespējas, veikali, pastaigu vietas, kultūras iestādes un citas publiskas telpas, piemēram, kapela vai dievnams, relaksācijas iespējas, frizieris, nodarbību un brīvā laika pavadīšanas iespējas, infrastruktūra – projekta iesniegumā norādīts attālums līdz ārstniecības iestādēm, veikalam un citām publiskām vietām, sniegta informācija par ceļu segumu, vides piekļūstamību. Personai ir iespēja tos sasniegt saviem spēkiem vai ar aprūpētāja atbalstu, tai skaitā izmantojot sabiedrisko transportu, – 2</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3.6.3. Projekta iesniegumā ir norādīts, ka sociālā pakalpojuma sniegšanas vietai nav pieejami vispārējie pakalpojumi, ko izmanto pārējā sabiedrība, – ārsts, fizioterapija u. c. medicīniskās aprūpes iespējas, veikali, pastaigu vietas, kultūras iestādes un citas publiskas telpas, piemēram, kapela vai dievnams, relaksācijas iespējas, frizieris, nodarbību un brīvā laika pavadīšanas iespējas, infrastruktūra – no pakalpojuma sniegšanas vietas tie ir pieejami tikai ar speciāli organizētu transportu vai nodrošinot tos pakalpojumu sniegšanas vietā – 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Projekta iesniedzēja gatavība projekta darbību īstenošanai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3.7.1. Pašvaldības teritorijas plānojums paredz pakalpojuma sniegšanai plānotās apbūves iespējamību attiecīgajā teritorijā – 3</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3.7.2. Plānotajai pakalpojuma sniegšanas vietai piegulošajā teritorijā ir izbūvēta sadalne elektrības pieslēguma veikšanai – 2</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3.7.3. Plānotajai pakalpojuma sniegšanas vietai piegulošajā teritorijā ir centralizētā ūdensvada pieslēgšanas iespējas – 2</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3.7.4. Plānotajai pakalpojuma sniegšanas vietai piegulošajā teritorijā ir centralizētās kanalizācijas pieslēgšanas iespējas – 2</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3.7.5. Uz projekta iesniegšanas brīdi ir uzsākta iepirkuma procedūra vai noslēgts līgums projekta piesaistei zemesgabalam – 3</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3.7.6. Uz projekta iesniegšanas brīdi ir uzsākta iepirkuma procedūra vai noslēgts līgums projektā plānoto būvdarbu veikšanai – 3</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3.7.7. Projekta iesniegumā nav informācijas, kas apliecina projekta iesniedzēja gatavību projekta darbību īstenošanai, – 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Pašvaldības ieguldījums deinstitucionalizācijas īstenošanā un vienmērīga sociālo pakalpojumu tīkla attīstībā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3.8.1. Pašvaldības teritorijā ir sociālo pakalpojumu sniedzēji, kuri nodrošina šādus sabiedrībā balstītus sociālos pakalpojumus pensijas vecuma personām un personām ar funkcionāliem traucējumiem – aprūpi mājās un dienas aprūpes centra pakalpojumu pensijas vecuma cilvēkiem, aprūpi mājās un dienas aprūpes centra un grupu mājas (dzīvokļa) pakalpojumus cilvēkiem ar garīga rakstura traucējumiem, specializētās darbnīcas pakalpojumu personām ar smagiem funkcionāliem traucējumiem – 4</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3.8.2. Projekta iesniegumā paredzēts attīstīt ģimeniskai videi pietuvinātus ilgstošas sociālās aprūpes un sociālās rehabilitācijas institūcijas pakalpojumus pensijas vecuma personām ar demenci – 3</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3.8.3. Pašvaldības teritorijā nav sociālo pakalpojumu sniedzēju, kuri nodrošina šādus sabiedrībā balstītus sociālos pakalpojumus pensijas vecuma personām un personām ar funkcionāliem traucējumiem – aprūpi mājās un dienas aprūpes centra pakalpojumu pensijas vecuma cilvēkiem, aprūpi mājās un dienas aprūpes centra un grupu mājas (dzīvokļa) pakalpojumus cilvēkiem ar garīga rakstura traucējumiem, specializētās darbnīcas pakalpojumu personām ar smagiem funkcionāliem traucējumiem, un projekta iesniegumā nav paredzēts attīstīt ģimeniskai videi pietuvinātus ilgstošas sociālās aprūpes un sociālās rehabilitācijas institūcijas pakalpojumus pensijas vecuma personām ar demenci – 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Finansējuma saņēmēja projekta īstenošanas un finanšu kapacitāte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3.9.1. Uz projekta iesniegšanas brīdi ir pieņemts pašvaldības lēmums par projekta īstenošanu (norādot adresi, kurā tiks veidots sociālā pakalpojuma sniedzējs) un finansējuma nodrošināšanu, tai skaitā norādot, ja nepieciešams, ka plānots ņemt Valsts kases aizdevumu (ja attiecināms) – 2</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vertAlign w:val="superscript"/>
                <w:rtl w:val="0"/>
              </w:rPr>
              <w:t xml:space="preserve">6S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3.9.2. Finansējuma saņēmējs apliecina, ka ir pietiekama cilvēkresursu un administratīvā kapacitāte, kā arī finanšu kapacitāte projekta īstenošanai un pabeigšanai līdz noteikumos noteiktajam datumam, tai skaitā ir saņemts apliecinājums izmaksu pieauguma rezultātā radušos izmaksu segšanai – 2</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3.9.3. Finansējuma saņēmējs apliecina, ka nodrošinās pievienotās vērtības nodokļa izmaksas un nepieciešamo papildu finansējumu projekta atbalstāmo darbību īstenošanai, ja tāda vajadzība rastos, – 2</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3.9.4. Projekta iesniegumā nav informācijas vai pievienotu dokumentu, kas apliecina finansējuma saņēmēja projekta īstenošanas un finanšu kapacitāti, – 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3.10.</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Veidojamā sociālā pakalpojuma sniegšanas vieta nav plānota ilgstošas sociālās aprūpes institūcijas teritorijā un nerobežosies ar 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3.10.1. Projekta iesniegumā norādītā pakalpojuma sniegšanas adrese nav plānota ilgstošas sociālās aprūpes institūcijas teritorijā un nerobežosies ar to – 4</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3.10.2. Projekta iesniegumā norādītā pakalpojuma sniegšanas adrese ir plānota ilgstošas sociālās aprūpes institūcijas teritorijā vai robežosies ar to – 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 – piemēro vienu atbilstošo kritēriju.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 – piemēro visus atbilstošos kritērijus (summējot tiem piemērojamo punktu skaitu).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___________________________________________________________________________________________________________________________________________________________________________________________________________</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1 </w:t>
      </w:r>
      <w:r w:rsidR="00000000" w:rsidRPr="00000000" w:rsidDel="00000000">
        <w:rPr>
          <w:rtl w:val="0"/>
        </w:rPr>
        <w:t xml:space="preserve">Projekta iesniegumu noraida, ja kādā no kritērijiem vērtējums ir "Jā".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Atbilstību kritērijam pārbauda: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uz projekta iesnieguma iesniegšanas dienu;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uz lēmuma par projekta iesnieguma apstiprināšanu dienu vai atzinuma par nosacījumu izpildi pieņemšanas dienu, ja ir bijis pieņemts lēmums par projekta iesnieguma apstiprināšanu ar nosacījumu.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Atbilstību Eiropas Parlamenta un Padomes 2024. gada 23. septembra Regulas (ES, Euratom) 2024/2509 par finanšu noteikumiem, ko piemēro Savienības vispārējam budžetam (pārstrādāta redakcija), 138. panta 1. punkta "b" apakšpunktam vērtē saskaņā ar vispārīgo atbilstības kritēriju Nr. 2.2.</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4 </w:t>
      </w:r>
      <w:r w:rsidR="00000000" w:rsidRPr="00000000" w:rsidDel="00000000">
        <w:rPr>
          <w:rtl w:val="0"/>
        </w:rPr>
        <w:t xml:space="preserve">Ja kritērijs neatbilst, aģentūra pieņem lēmumu par projekta iesnieguma apstiprināšanu ar nosacījumu.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5 </w:t>
      </w:r>
      <w:r w:rsidR="00000000" w:rsidRPr="00000000" w:rsidDel="00000000">
        <w:rPr>
          <w:rtl w:val="0"/>
        </w:rPr>
        <w:t xml:space="preserve">Ja kritērijs neatbilst, atbildīgā iestāde pieņem lēmumu par projekta iesnieguma noraidīšanu.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6 </w:t>
      </w:r>
      <w:r w:rsidR="00000000" w:rsidRPr="00000000" w:rsidDel="00000000">
        <w:rPr>
          <w:rtl w:val="0"/>
        </w:rPr>
        <w:t xml:space="preserve">Informācija par projekta iesniedzēja nodokļu parādiem tiek pārbaudīta, izmantojot Valsts ieņēmumu dienesta administrēto nodokļu (nodevu) parādnieku datubāzi (https://www6.vid.gov.lv/NPAR):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uz projekta iesnieguma iesniegšanas dienu;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uz precizējumu iesniegšanas dienu, kā arī gadījumos, kad iepriekš netika izvirzīts nosacījums.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7 </w:t>
      </w:r>
      <w:r w:rsidR="00000000" w:rsidRPr="00000000" w:rsidDel="00000000">
        <w:rPr>
          <w:rtl w:val="0"/>
        </w:rPr>
        <w:t xml:space="preserve">Centrālās statistikas pārvaldes dati par 2023. gadu, pieejami – </w:t>
      </w:r>
      <w:r w:rsidR="00000000" w:rsidRPr="00000000" w:rsidDel="00000000">
        <w:rPr>
          <w:rtl w:val="0"/>
        </w:rPr>
        <w:t xml:space="preserve">https://data.stat.gov.lv/pxweb/lv/OSP_PUB/START__POP__IR__IRD/IRD081/table/tableViewLayout1/</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8 </w:t>
      </w:r>
      <w:r w:rsidR="00000000" w:rsidRPr="00000000" w:rsidDel="00000000">
        <w:rPr>
          <w:rtl w:val="0"/>
        </w:rPr>
        <w:t xml:space="preserve">Centrālās statistikas pārvaldes dati par 2023. gadu – aprēķins, ņemot vērā iedzīvotāju kopējo skaitu sadalījumā pa pašvaldībām un cilvēku skaitu pēc darbspējas vecuma sadalījumā pa pašvaldībām.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25-TA-1630</w:t>
    </w:r>
    <w:r>
      <w:br/>
    </w:r>
    <w:r w:rsidR="00000000" w:rsidRPr="00000000" w:rsidDel="00000000">
      <w:rPr>
        <w:rtl w:val="0"/>
      </w:rPr>
      <w:t xml:space="preserve">Izdrukāts 29.07.2026. 23.18 - 1.0.VK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25-TA-1630</w:t>
    </w:r>
    <w:r>
      <w:br/>
    </w:r>
    <w:r w:rsidR="00000000" w:rsidRPr="00000000" w:rsidDel="00000000">
      <w:rPr>
        <w:rtl w:val="0"/>
      </w:rPr>
      <w:t xml:space="preserve">Izdrukāts 29.07.2026. 23.18 - 1.0.VK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noteikumu_konsolidētā_versija_p1_25-TA-1630.docx</dc:title>
</cp:coreProperties>
</file>

<file path=docProps/custom.xml><?xml version="1.0" encoding="utf-8"?>
<Properties xmlns="http://schemas.openxmlformats.org/officeDocument/2006/custom-properties" xmlns:vt="http://schemas.openxmlformats.org/officeDocument/2006/docPropsVTypes"/>
</file>