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21. decembra noteikumos Nr. 888 "Kārtība, kādā ministrijas un citas centrālās valsts iestādes iekļauj gadskārtējā valsts budžeta likumprojektā valsts aizdevumu pieprasījumus, un valsts aizdevumu izsniegšanas un apkalpošanas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24-TA-2656</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mk_sēdes_protokollēmuma_projekts_24-TA-2656.docx</dc:title>
</cp:coreProperties>
</file>

<file path=docProps/custom.xml><?xml version="1.0" encoding="utf-8"?>
<Properties xmlns="http://schemas.openxmlformats.org/officeDocument/2006/custom-properties" xmlns:vt="http://schemas.openxmlformats.org/officeDocument/2006/docPropsVTypes"/>
</file>