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26. aprīlī (prot. Nr. 23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w:t>
      </w:r>
      <w:r>
        <w:br/>
      </w:r>
      <w:r w:rsidR="00000000" w:rsidRPr="00000000" w:rsidDel="00000000">
        <w:rPr>
          <w:rStyle w:val="paragraph"/>
          <w:i w:val="1"/>
          <w:rtl w:val="0"/>
        </w:rPr>
        <w:t xml:space="preserve">plānošanas perioda vadības likuma</w:t>
      </w:r>
      <w:r>
        <w:br/>
      </w:r>
      <w:r w:rsidR="00000000" w:rsidRPr="00000000" w:rsidDel="00000000">
        <w:rPr>
          <w:rStyle w:val="paragraph"/>
          <w:i w:val="1"/>
          <w:rtl w:val="0"/>
        </w:rPr>
        <w:t xml:space="preserve">20.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 (Latvijas Vēstnesis, 2021, 236.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Īstenojot šo noteikumu 16.1. apakšpunktā minēto atbalstāmo darbību, mācību procesa nodrošināšanai nepieciešamās portatīvās datortehnikas iegādei Izglītības un zinātnes ministrija izveido Elektroniskās iepirkumu sistēmas iepirkuma katalogu un veic pasūtījumu sadarbībā ar pašvaldībām, kas līdz 2022. gada 1. jūlijam ir noslēgušas sadarbības līgumu. Valsts izglītības satura centrs sekmē šo procesu un ir atbildīgs par šo noteikumu 16.2. apakšpunktā minētās darbības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22-TA-1061</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22-TA-1061</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noteikumu_(grozījumu)_projekts_22-TA-1061.docx</dc:title>
</cp:coreProperties>
</file>

<file path=docProps/custom.xml><?xml version="1.0" encoding="utf-8"?>
<Properties xmlns="http://schemas.openxmlformats.org/officeDocument/2006/custom-properties" xmlns:vt="http://schemas.openxmlformats.org/officeDocument/2006/docPropsVTypes"/>
</file>