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izglītības iestāžu vadītāju, viņu vietnieku un struktūrvienību vadītāju zemākās mēneša darba algas likmes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580"/>
        <w:gridCol w:w="4155"/>
        <w:tblGridChange w:id="0">
          <w:tblGrid>
            <w:gridCol w:w="1664"/>
            <w:gridCol w:w="3580"/>
            <w:gridCol w:w="4155"/>
          </w:tblGrid>
        </w:tblGridChange>
      </w:tblGrid>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Asociētais 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538"/>
        <w:gridCol w:w="3964"/>
        <w:tblGridChange w:id="0">
          <w:tblGrid>
            <w:gridCol w:w="802"/>
            <w:gridCol w:w="4538"/>
            <w:gridCol w:w="3964"/>
          </w:tblGrid>
        </w:tblGridChange>
      </w:tblGrid>
      <w:tr>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nosaukums</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profesionālās vidējās izglītības iestādē,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daļas vadītājs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 nodaļas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293"/>
        <w:gridCol w:w="4538"/>
        <w:tblGridChange w:id="0">
          <w:tblGrid>
            <w:gridCol w:w="1664"/>
            <w:gridCol w:w="3293"/>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profesionālās izglītības, izņemot profesionālo vidējo izglītību, un interešu izglītības iestādes vadītājs, arodizglītības vai profesionālās vidējās izglītības programmas īstenojošas koledžas struktūrvienības vadītājs izglītības iestādē (koledžas struktūrvienībā),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301 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101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1203</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Interešu izglītības iestādēs izglītojamo skaitam piemēro koeficientu 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Vispārējās izglītības iestādēs kopējā izglītojamo skaitā iekļauj piecgadīgos un sešgadīgos izglītojamos, bet speciālajās izglītības iestādēs – visus pirmsskolas izglītības vecuma izglītojamos.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To izglītības iestāžu vadītāju amata algu, kuras īsteno vispārējās un profesionālās izglītības programmas ieslodzījuma vietās, nosaka par vienu pakāpi augstāku.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Pārējo pedagogu zemākās mēneša darba algas likmes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826"/>
        <w:gridCol w:w="3772"/>
        <w:tblGridChange w:id="0">
          <w:tblGrid>
            <w:gridCol w:w="802"/>
            <w:gridCol w:w="4826"/>
            <w:gridCol w:w="37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metodiķis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Pedagogs (izņemot pirmsskolas pedagogu)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22-TA-1520</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22-TA-1520</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noteikumu_konsolidētā_versija_p1_22-TA-1520.docx</dc:title>
</cp:coreProperties>
</file>

<file path=docProps/custom.xml><?xml version="1.0" encoding="utf-8"?>
<Properties xmlns="http://schemas.openxmlformats.org/officeDocument/2006/custom-properties" xmlns:vt="http://schemas.openxmlformats.org/officeDocument/2006/docPropsVTypes"/>
</file>