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3.1.1. specifiskā atbalsta mērķa "Attīstīt ilgtspējīgu, pret klimatu izturīgu, inteliģentu, drošu un vairākveidu TEN-T infrastruktūru" 3.1.1.8. pasākuma "Robežšķērsošanas punktu attīstība"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prioritārā virziena "Ilgtspējīga TEN-T infrastruktūra" 3.1.1. specifiskā atbalsta mērķa "Attīstīt ilgtspējīgu, pret klimatu izturīgu, inteliģentu, drošu un vairākveidu TEN-T infrastruktūru" 3.1.1.8. pasākumu "Robežšķērsošanas punktu attīstība"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 un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Kohēzijas fonda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uzlabot robežšķērsošanas vietu infrastruktūru un pārrobežu caurlaidspēju, kā arī vienkāršot pārrobežu transporta operācijas gan uzņēmumiem, gan pasažieriem.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uz valsts robežas strādājošie kontroles dienesti – Valsts ieņēmumu dienests, Valsts robežsardze, Pārtikas un veterinārais dienests – un satiksmes dalībnieki.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plānotais kopējais attiecināmais finansējums ir 42 434 195 </w:t>
      </w:r>
      <w:r w:rsidR="00000000" w:rsidRPr="00000000" w:rsidDel="00000000">
        <w:rPr>
          <w:i w:val="1"/>
          <w:rtl w:val="0"/>
        </w:rPr>
        <w:t xml:space="preserve">euro </w:t>
      </w:r>
      <w:r w:rsidR="00000000" w:rsidRPr="00000000" w:rsidDel="00000000">
        <w:rPr>
          <w:rtl w:val="0"/>
        </w:rPr>
        <w:t xml:space="preserve">(no tā elastības finansējums – 6 706 706 </w:t>
      </w:r>
      <w:r w:rsidR="00000000" w:rsidRPr="00000000" w:rsidDel="00000000">
        <w:rPr>
          <w:i w:val="1"/>
          <w:rtl w:val="0"/>
        </w:rPr>
        <w:t xml:space="preserve">euro</w:t>
      </w:r>
      <w:r w:rsidR="00000000" w:rsidRPr="00000000" w:rsidDel="00000000">
        <w:rPr>
          <w:rtl w:val="0"/>
        </w:rPr>
        <w:t xml:space="preserve">), tai skaitā Kohēzijas fonda finansējums 36 069 064 </w:t>
      </w:r>
      <w:r w:rsidR="00000000" w:rsidRPr="00000000" w:rsidDel="00000000">
        <w:rPr>
          <w:i w:val="1"/>
          <w:rtl w:val="0"/>
        </w:rPr>
        <w:t xml:space="preserve">euro </w:t>
      </w:r>
      <w:r w:rsidR="00000000" w:rsidRPr="00000000" w:rsidDel="00000000">
        <w:rPr>
          <w:rtl w:val="0"/>
        </w:rPr>
        <w:t xml:space="preserve">(no tā elastības finansējums – 5 700 700 </w:t>
      </w:r>
      <w:r w:rsidR="00000000" w:rsidRPr="00000000" w:rsidDel="00000000">
        <w:rPr>
          <w:i w:val="1"/>
          <w:rtl w:val="0"/>
        </w:rPr>
        <w:t xml:space="preserve">euro</w:t>
      </w:r>
      <w:r w:rsidR="00000000" w:rsidRPr="00000000" w:rsidDel="00000000">
        <w:rPr>
          <w:rtl w:val="0"/>
        </w:rPr>
        <w:t xml:space="preserve">) un valsts budžeta līdzfinansējums – ne mazāk kā 6 365 131 </w:t>
      </w:r>
      <w:r w:rsidR="00000000" w:rsidRPr="00000000" w:rsidDel="00000000">
        <w:rPr>
          <w:i w:val="1"/>
          <w:rtl w:val="0"/>
        </w:rPr>
        <w:t xml:space="preserve">euro </w:t>
      </w:r>
      <w:r w:rsidR="00000000" w:rsidRPr="00000000" w:rsidDel="00000000">
        <w:rPr>
          <w:rtl w:val="0"/>
        </w:rPr>
        <w:t xml:space="preserve">(no tā elastības finansējums –1 006 006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Maksimālā Kohēzijas fonda finansējuma intensitāte ir 85 % no projektam plānotā kopējā attiecināmā finansējuma, nepārsniedzot izmaksu un ieguvumu analīzē aprēķināto finansējuma deficīta procentuālo apmēru, un nacionālais līdzfinansējums nav mazāks par 15 %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Projektu iesniegumos kopējo pasākumu īstenošanai pieejamo finansējumu plāno ne vairāk kā 35 727 489 </w:t>
      </w:r>
      <w:r w:rsidR="00000000" w:rsidRPr="00000000" w:rsidDel="00000000">
        <w:rPr>
          <w:i w:val="1"/>
          <w:rtl w:val="0"/>
        </w:rPr>
        <w:t xml:space="preserve">euro </w:t>
      </w:r>
      <w:r w:rsidR="00000000" w:rsidRPr="00000000" w:rsidDel="00000000">
        <w:rPr>
          <w:rtl w:val="0"/>
        </w:rPr>
        <w:t xml:space="preserve">apmērā, tai skaitā Kohēzijas fonda finansējumu – 30 368 364 </w:t>
      </w:r>
      <w:r w:rsidR="00000000" w:rsidRPr="00000000" w:rsidDel="00000000">
        <w:rPr>
          <w:i w:val="1"/>
          <w:rtl w:val="0"/>
        </w:rPr>
        <w:t xml:space="preserve">euro </w:t>
      </w:r>
      <w:r w:rsidR="00000000" w:rsidRPr="00000000" w:rsidDel="00000000">
        <w:rPr>
          <w:rtl w:val="0"/>
        </w:rPr>
        <w:t xml:space="preserve">apmērā un valsts budžeta līdzfinansējumu – 5 359 125 </w:t>
      </w:r>
      <w:r w:rsidR="00000000" w:rsidRPr="00000000" w:rsidDel="00000000">
        <w:rPr>
          <w:i w:val="1"/>
          <w:rtl w:val="0"/>
        </w:rPr>
        <w:t xml:space="preserve">euro </w:t>
      </w:r>
      <w:r w:rsidR="00000000" w:rsidRPr="00000000" w:rsidDel="00000000">
        <w:rPr>
          <w:rtl w:val="0"/>
        </w:rPr>
        <w:t xml:space="preserve">apmērā. 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minētajam plānotajam kopējam finansējumam.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Pasākumu īsteno līdz 2028. gada 31. decembrim, sasniedzot šādu nacionālo rādītāju – trīs robežšķērsošanas vietās ("Terehova", "Grebņeva", "Pāternieki") uz Eiropas Savienības ārējās sauszemes robežas veikti infrastruktūras modernizācijas darbi.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minētais nacionālais rādītājs ir sasniegts, kad pasākuma ietvaros modernizētā robežšķērsošanas vietu infrastruktūra ir nodota ekspluatācijā.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ierobežotas projektu iesniegumu atlases veidā vienā projektu iesniegumu atlases kārtā par visu pasākumam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atbildīgās iestādes funkcijas pilda Finanšu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Kohēzijas fonda finansējumu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Atbalsts pasākuma ietvaros nav kvalificējams kā komercdarbības atbalsts, jo tas piešķirts valsts deleģētas funkcijas veikšanai. Atbalsts tiek sniegts pasākumam bez ekonomiskās aktivitātes, kas nesniedz ekonomiskas priekšrocības nevienam komersantam.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ir valsts akciju sabiedrība "Valsts nekustamie īpašumi", kura saskaņā ar Finanšu ministrijas un valsts akciju sabiedrības "Valsts nekustamie īpašumi" 2020. gada 18. martā noslēgto Nekustamā īpašuma portfeļa pārvaldīšanas līgumu (ar 2021. gada 27. decembra, 2022. gada 20. decembra un 2023. gada 27. decembra grozījumiem) pārvalda Finanšu ministrijas valdījumā esošos valsts nekustamos īpašumus.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Infrastruktūra, kurā plānotas investīcijas pasākuma ietvaros, atrodas valsts īpašumā (īpašumtiesības zemesgrāmatā nostiprinātas uz valsts vārda Finanšu ministrijas personā).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kas pēc projekta apstiprināšanas ir  finansējuma saņēmējs, sagatavo projekta iesniegumu atbilstoši projektu iesniegumu atlases nolikumā noteiktajām prasībām, pievienojot projektam veikto izmaksu un ieguvumu analīzi, un iesniedz to sadarbības iestādē, izmantojot Kohēzijas politikas fondu vadības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pasākuma ietvaros iesniedz trīs projektu iesniegumus – vienu par katru robežšķērsošanas vietu.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atbalstāmās darbības ir trīs robežšķērsošanas punktu – "Terehova", "Grebņeva" un "Pāternieki" – TEN-T  infrastruktūras modernizācijas darbi.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Projektā neiekļauj darbības, kas nav vērstas uz šo noteikumu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minētā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ir attiecināmas šādas 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izmaksas, kas radušās uz darba līguma vai uzņēmuma (pakalpojuma) līguma pamata, tai skaitā valsts sociālās apdrošināšanas obligātās iemaksas no apliekamajām attiecināmajām izmaksām, ņemot vērā, 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projektiem ar tiešajām attiecināmajām izmaksām virs pieciem miljoniem </w:t>
      </w:r>
      <w:r w:rsidR="00000000" w:rsidRPr="00000000" w:rsidDel="00000000">
        <w:rPr>
          <w:i w:val="1"/>
          <w:rtl w:val="0"/>
        </w:rPr>
        <w:t xml:space="preserve">euro </w:t>
      </w:r>
      <w:r w:rsidR="00000000" w:rsidRPr="00000000" w:rsidDel="00000000">
        <w:rPr>
          <w:rtl w:val="0"/>
        </w:rPr>
        <w:t xml:space="preserve">personāla izmaksu ES fondu daļas ierobežojums tiek noteikts kā fiksēta summa līdz 84 787 </w:t>
      </w:r>
      <w:r w:rsidR="00000000" w:rsidRPr="00000000" w:rsidDel="00000000">
        <w:rPr>
          <w:i w:val="1"/>
          <w:rtl w:val="0"/>
        </w:rPr>
        <w:t xml:space="preserve">euro </w:t>
      </w:r>
      <w:r w:rsidR="00000000" w:rsidRPr="00000000" w:rsidDel="00000000">
        <w:rPr>
          <w:rtl w:val="0"/>
        </w:rPr>
        <w:t xml:space="preserve">kalendāra gadā;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projektos ar tiešajām attiecināmajām izmaksām līdz pieciem miljoniem </w:t>
      </w:r>
      <w:r w:rsidR="00000000" w:rsidRPr="00000000" w:rsidDel="00000000">
        <w:rPr>
          <w:i w:val="1"/>
          <w:rtl w:val="0"/>
        </w:rPr>
        <w:t xml:space="preserve">euro </w:t>
      </w:r>
      <w:r w:rsidR="00000000" w:rsidRPr="00000000" w:rsidDel="00000000">
        <w:rPr>
          <w:rtl w:val="0"/>
        </w:rPr>
        <w:t xml:space="preserve"> (ieskaitot) ierobežojums tiek aprēķināts ar minimālo izmaksu bāzi 34 422 </w:t>
      </w:r>
      <w:r w:rsidR="00000000" w:rsidRPr="00000000" w:rsidDel="00000000">
        <w:rPr>
          <w:i w:val="1"/>
          <w:rtl w:val="0"/>
        </w:rPr>
        <w:t xml:space="preserve">eiro </w:t>
      </w:r>
      <w:r w:rsidR="00000000" w:rsidRPr="00000000" w:rsidDel="00000000">
        <w:rPr>
          <w:rtl w:val="0"/>
        </w:rPr>
        <w:t xml:space="preserve">kalendāra gadā, pieskaitot 0,64 % no projekta tiešajām attiecināmajām izmaksām, bet neieskaitot tiešās projekta vadības personāla izmaksas un summu reizinot ar projekta ilgumu gados;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attiecināma ir ne mazāka kā 30 procentu noslodze, personāla iesaisti projektā nodrošinot saskaņā ar daļlaika attiecināmības principu (attiecināms, ja izmaksas radušās uz darba līguma pamata);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pamatojošās dokumentācijas sagatavošanas izmaksas, izņemot projekta iesnieguma veidlapas aizpildīšanas izmaksas, nepārsniedzot 10 procentus no projekta kopējām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būvprojekta minimālā sastāvā, apliecinājuma kartes vai paskaidrojuma raksta izstrāde visām projektā paredzētajām darbībām;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ekspertīzes un izpētes izmaksas, ja to veikšana ir priekšnosacījums būvprojekta, būvdarbu ieceres dokumentācijas vai būvprojekta minimālā sastāvā izstrādei;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izmaksu un ieguvumu analīze;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ekspertu izmaksas, kas tieši saistītas ar investīcijām infrastruktūrā, un autoruzraudzības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būvdarbu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esošas būves atjaunošana, pārbūve vai demontāža;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jaunas būves būvniecība;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teritorijas labiekārtošanas darbi un teritorijas labiekārtojuma elementu iegāde;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atjaunoto, pārbūvēto vai uzbūvēto būvju funkcionalitātes nodrošināšanai nepieciešamo inženiertīklu, tai skaitā ūdensvada, sadzīves kanalizācijas, lietusūdens kanalizācijas, elektrības, elektronisko sakaru, siltumapgādes, ventilācijas, klimata kontroles un ugunsdzēsības sistēmas, atjaunošana, pārbūve vai būvniecība;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inženierinfrastruktūras pārbūve vai funkcionāls savienojums, tai skaitā lietusūdens kanalizācijas infrastruktūras izbūve vai pārbūve (piegulošo inženiertīklu pārbūves izmaksas attiecināmas tikai tad, ja tiek nodrošināts sertificēta būvinženiera atzinums, kurā konstatēts, ka, projekta ietvaros veicot plānotos ieguldījumus noteiktās teritorijās, nav iespējams izvairīties no minētās infrastruktūras bojāšanas vai pārbūves un ieguldījumi inženiertīklu pārbūvē tiek veikti, nemainot inženiertīklu tehniskos parametrus un neradot priekšrocības to īpašniekiem);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aprīkojuma iegādes, piegādes un montāžas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komunikācijas un vizuālās identitātes pasākumu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atjaunīgos energoresursus izmantojošu enerģiju ražojošu avotu iegāde un uzstādīšana, ievērojot, ka saražotā enerģija 100 procentu apmērā tiek izmantota pašpatēriņam.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septiņu procentu apmērā no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Neparedzētie izdevumi nepārsniedz piecus procentus no projekta kopējām tiešajām attiecināmajām izmaksām, un to izlietošanu finansējuma saņēmējs saskaņo ar sadarbības iestādi, ievērojot vienošanos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attiecināmās izmaksas, ja tos nevar atgūt atbilstoši normatīvajiem aktiem par pievienotās vērtības nodokli.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ietvaros izmaksas ir attiecināmas, ja attiecīgās darbības nav pabeigtas līguma par projekta īstenošanu noslēgšanas brīdī.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projektu īsteno saskaņā ar noslēgto līgumu par projekta īstenošanu, bet ne ilgāk kā līdz 2028.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īstenošanas laikā finansējuma saņēmējs var saņemt avansa maksājumu saskaņā ar pakalpojumu, preču piegādes vai būvdarbu līgumu un normatīvo aktu par valsts budžeta līdzekļu plānošanas kārtību Eiropas Savienības fondu projektu īstenošanai un maksājumu veikšanai 2021.–2027. gada plānošanas periodā. Sadarbības iestāde, ja tai ir pieejami valsts budžeta līdzekļi, pēc līguma par projekta īstenošanu noslēgšanas, pamatojoties uz finansējuma saņēmēja pieprasījumu un atbilstoši projektā plānoto maksājumu pieprasījumu iesniegšanas grafikam, var piešķirt avansu, izvērtējot plānotā avansa apmēru un nepieciešamības pamatojumu. Finansējuma saņēmējs avansa pieprasījumu sagatavo un sadarbības iestāde to apstiprina, ņemot vērā, ka plānotā avansa apmērs atbilst spējai to izlietot sešu mēnešu laikā saimnieciskā gada ietvaros. Avansa un starpposma maksājuma kopsumma var būt līdz 100 procentiem no projektam piešķirtā Kohēzijas fonda finansējuma un valsts budžeta līdzfinansējuma kopsummas. Avansa maksājumu ir iespējams saņemt vairākos maksājumos.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sasniegtajiem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minētajiem nacionālajiem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projekta ietekmi uz horizontālā principa "Vienlīdzība, iekļaušana, nediskriminācija un pamattiesību ievērošana" rādītāju – objektu skaits, kuros Kohēzijas fonda ieguldījumu rezultātā ir nodrošināta vides un informācijas pieejamība, – un citiem horizontālo principu rādītājiem (ja attiecināms) un ievēro 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vienlīdzība, iekļaušana, nediskriminācija un pamattiesību ievērošana;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lai pasākuma ietvaros plānotais atbalsts nepārklātos ar citiem valsts un ārvalstu finanšu atbalsta instrumentiem un tiktu novērsts dubultā finansējuma risks;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sasniegto rezultātu ilgtspēju vismaz piecus gadus pēc projekta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projekta īstenošanas rezultātā radīto vērtību uzturēšanu, laikus plānojot periodisku nodilušo konstrukciju atjaunošanu;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 retāk kā reizi trijos mēnešos savā tīmekļvietnē ievieto aktuālo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komunikācijas un vizuālās identitātes pasākumus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normatīvajiem aktiem par kārtību, kādā Eiropas Savienības fondu vadībā iesaistītās institūcijas nodrošina šo fondu ieviešanu 2021.–2027. gada plānošanas periodā, kā arī saskaņā ar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izstrādā iekšējās kontroles sistēmu, ietverot tajā informāciju par interešu konflikta, krāpšanas, korupcijas risku un dubultā finansējuma novēršanas mehānismu un nodrošinot, ka izmaksas nepārklājas ar citiem valsts un ārvalstu finanšu atbalsta instrumentiem, kā arī paraksta interešu konflikta neesības apliecinājumu;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glabā projekta dokumentāciju un nodrošina tās pieejamību visā projekta īstenošanas laikā un uzraudzības periodā, kas nepārsniedz piecus gadus pēc pēdējā noslēguma maksājuma veikšanas finansējuma saņēmējam;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samazinātu būvdarbu ietekmi uz vidi visā to aprites ciklā, vienlaikus sekmējot videi draudzīgu preču un pakalpojumu tirgus attīstību un vietējās ekonomikas konkurētspējas paaugstināšanu, robežšķērsošanas punktu modernizācijas iepirkumiem izmanto caurskatāmu, pārskatāmu un konkurenci nodrošinošu procedūru, ievērojot Ministru kabineta 2017. gada 20. jūnija noteikumus Nr. 353 </w:t>
      </w:r>
      <w:r w:rsidR="00000000" w:rsidRPr="00000000" w:rsidDel="00000000">
        <w:rPr>
          <w:rtl w:val="0"/>
        </w:rPr>
        <w:t xml:space="preserve">"Prasības zaļajam publiskajam iepirkumam un to piemērošanas kārtība"</w:t>
      </w:r>
      <w:r w:rsidR="00000000" w:rsidRPr="00000000" w:rsidDel="00000000">
        <w:rPr>
          <w:rtl w:val="0"/>
        </w:rPr>
        <w:t xml:space="preserve"> un nosakot zaļā publiskā iepirkuma prasības un kritērijus, kā arī sociāli atbildīga publiskā iepirkuma un inovatīva publiskā iepirkuma elementus būvdarbos;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būvniecības procesa laikā paredz pasākumus trokšņa, putekļu un piesārņotāju emisiju samazināšanai.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24-TA-2342</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24-TA-2342</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noteikumu_konsolidētā_versija_24-TA-2342.docx</dc:title>
</cp:coreProperties>
</file>

<file path=docProps/custom.xml><?xml version="1.0" encoding="utf-8"?>
<Properties xmlns="http://schemas.openxmlformats.org/officeDocument/2006/custom-properties" xmlns:vt="http://schemas.openxmlformats.org/officeDocument/2006/docPropsVTypes"/>
</file>