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11.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519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Dzērienu iepakojumi, kuriem piemēro depozīta sistēmu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5017"/>
        <w:gridCol w:w="5017"/>
        <w:tblGridChange w:id="0">
          <w:tblGrid>
            <w:gridCol w:w="514"/>
            <w:gridCol w:w="5017"/>
            <w:gridCol w:w="5017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Vienreiz un atkārtoti lietojamā iepakojuma veidi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Dzērieni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Plastmasas (PET materiālu grupa) pudeles ar tilpumu no 0,1 līdz 3 l (neieskaitot)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Skārdenes ar tilpumu no 0,1 līdz 3 l (neieskaitot)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Karbonizēti un nekarbonizēti bezalkoholiskie dzērieni (piemēram, minerālūdens, dzeramais ūdens, limonādes, enerģijas dzērieni, kafijas dzērieni, ledus tēja, sulas, nektāri, bezalkoholiskais alus), sīrupi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Visu veidu alkoholiskie dzērieni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 pudeles ar tilpumu no 0,1 līdz 3 l (neieskaitot)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Karbonizēti un nekarbonizēti bezalkoholiskie dzērieni (piemēram, minerālūdens, dzeramais ūdens, limonādes, enerģijas dzērieni, kafijas dzērieni, ledus tēja, sulas, nektāri), sīrupi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Alus (ieskaitot bezalkoholisko)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Sidrs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Alkoholiskie dzērieni ar alkohola saturu no 0,5 % līdz 15 % (piemēram, kokteiļi vai jauktie dzērieni (dzērienu maisījumi), kas satur raudzēto dzērienu vai spirtu, tai skaitā aromatizēti vīni, aromatizēti vīna dzērieni, aromatizēti vīna kokteiļi), izņemot vīnu, dzirkstošo vīnu un augļu vīnu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 </w:t>
      </w:r>
      <w:r w:rsidR="00000000" w:rsidRPr="00000000" w:rsidDel="00000000">
        <w:rPr>
          <w:rtl w:val="0"/>
        </w:rPr>
        <w:t xml:space="preserve">Izņemot iepakojumu, kuru tā formas vai tehnisko īpašību dēļ nav iespējams pieņemt automatizēti; katrs šāds gadījums jāsaskaņo ar Valsts vides dienestu.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22-TA-956</w:t>
    </w:r>
    <w:r>
      <w:br/>
    </w:r>
    <w:r w:rsidR="00000000" w:rsidRPr="00000000" w:rsidDel="00000000">
      <w:rPr>
        <w:rtl w:val="0"/>
      </w:rPr>
      <w:t xml:space="preserve">Izdrukāts 29.07.2026. 22.09 - 1.0.VK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22-TA-956</w:t>
    </w:r>
    <w:r>
      <w:br/>
    </w:r>
    <w:r w:rsidR="00000000" w:rsidRPr="00000000" w:rsidDel="00000000">
      <w:rPr>
        <w:rtl w:val="0"/>
      </w:rPr>
      <w:t xml:space="preserve">Izdrukāts 29.07.2026. 22.09 - 1.0.VK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noteikumu_konsolidētā_versija_p1_22-TA-956.docx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