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un 5. panta pirmo daļu atļaut valsts akciju sabiedrībai "Valsts nekustamie īpašumi" pārdot izsolē šādus valsts nekustamos īpašumus, kas ierakstīti zemesgrāmatā uz valsts vārda Finanšu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0500 510 0408) – būvi (būves kadastra apzīmējums 0500 010 1912 001) – Daugavpilī;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0500 516 0006) – būvi (būves kadastra apzīmējums 0500 016 0804 001) – Daugavpilī.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Pircēji par nekustamajiem īpašumiem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Nekustamo īpašumu valdītājam nodot pircējiem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21-TA-1696</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21-TA-1696</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rīkojuma_projekts_21-TA-1696.docx</dc:title>
</cp:coreProperties>
</file>

<file path=docProps/custom.xml><?xml version="1.0" encoding="utf-8"?>
<Properties xmlns="http://schemas.openxmlformats.org/officeDocument/2006/custom-properties" xmlns:vt="http://schemas.openxmlformats.org/officeDocument/2006/docPropsVTypes"/>
</file>