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 6. un 13.</w:t>
      </w:r>
      <w:r w:rsidR="00000000" w:rsidRPr="00000000" w:rsidDel="00000000">
        <w:rPr>
          <w:rStyle w:val="paragraph"/>
          <w:i w:val="1"/>
          <w:rtl w:val="0"/>
        </w:rPr>
        <w:t xml:space="preserve"> </w:t>
      </w:r>
      <w:r w:rsidR="00000000" w:rsidRPr="00000000" w:rsidDel="00000000">
        <w:rPr>
          <w:rStyle w:val="paragraph"/>
          <w:i w:val="1"/>
          <w:rtl w:val="0"/>
        </w:rPr>
        <w:t xml:space="preserve">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pasākumu "Pakalpojumu kvalitātes un pieejamības uzlabošana, tuvinot valsts sociālās aprūpes centru filiāles kopienā sniegtajiem (ģimeniskai videi pietuvinātiem) pakalpojumiem"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paaugstināt pakalpojumu kvalitāti un uzlabot pakalpojumu pieejamību valsts sociālās aprūpes centros, izveidojot ģimeniskai videi pietuvināta pakalpojuma infrastruktūru, tādējādi sekmējot bērnu un jauniešu ar smagiem un ļoti smagiem funkcionāliem traucējumiem neatkarīgas dzīves iespējas un dzīves kvalitātes saglabāšanu vai uzlabošanu.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 sociālās aprūpes centros esošie: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bāreņi un bez vecāku gādības palikušie bērni ar smagiem un ļoti smagiem funkcionāliem traucējumiem, kuriem funkcionālo traucējumu smaguma pakāpes dēļ nav iespējams nodrošināt aprūpi ģimenē, pie aizbildņa, audžuģimenē vai specializētajā audžuģimenē;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no 18 gadiem līdz 25 gadiem (ieskaitot) ar smagiem un ļoti smagiem garīga rakstura traucējumiem.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iznākuma rādītājs – izvēlētas un saskaņotas vietas jaunu vai modernizētu sociālās aprūpes iestāžu izveidei – 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izvēlētas un saskaņotas vietas jaunu vai modernizētu sociālās aprūpes iestāžu izveidei – 10;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vai modernizētu sociālās aprūpes iestāžu (izņemot sociālo mājokļu) kapacitāte – 112;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personu skaits, kuras izmanto jaunu vai modernizētu sociālās aprūpes iestāžu pakalpojumus, – gadā 112.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26 121 308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22 203 111 </w:t>
      </w:r>
      <w:r w:rsidR="00000000" w:rsidRPr="00000000" w:rsidDel="00000000">
        <w:rPr>
          <w:i w:val="1"/>
          <w:rtl w:val="0"/>
        </w:rPr>
        <w:t xml:space="preserve">euro </w:t>
      </w:r>
      <w:r w:rsidR="00000000" w:rsidRPr="00000000" w:rsidDel="00000000">
        <w:rPr>
          <w:rtl w:val="0"/>
        </w:rPr>
        <w:t xml:space="preserve">un valsts budžeta līdzfinansējums – 3 918 197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2021. gada 1. decembra.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sabiedrība ar ierobežotu atbildību "Šampētera nams", kas saskaņā ar Sociālo pakalpojumu un sociālās palīdzības likumu pārvalda Labklājības ministrijas valdījumā esošos valsts nekustamos īpašumus, kuri nepieciešami valsts sociālās aprūpes centru pakalpojumu nodrošināšanai. Projekta iesniedzējs pēc projekta iesnieguma apstiprināšanas ir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sadarbības partneri ir valsts sociālās aprūpes centri (turpmāk – sadarbības partneri).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ar sadarbības partneriem slēdz sadarbības līgumu. Sadarbības līgumā papildus normatīvajos aktos, kas nosaka kārtību, kādā Eiropas Savienības fondu vadībā iesaistītās institūcijas nodrošina šo fondu ieviešanu 2021.–2027. gada plānošanas periodā, noteiktajām prasībām iekļauj vismaz šādu informāciju par sadarbības partneru pienākumiem: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informatīvo un konsultatīvo atbalstu, kas nepieciešams kvalitatīvai projekta mērķa sasniegšanai un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ka 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minētajā informatīvā un konsultatīvā atbalsta sniegšanā piedalās to valsts sociālās aprūpes centru filiāļu speciālisti, kuri ikdienā nodrošina ilgstošas sociālās aprūpes un sociālās rehabilitācijas pakalpojumu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sociālās aprūpes centram, kurš sniegs pakalpojumu izveidotajā infrastruktūrā, – reģistrēt ģimeniskai videi pietuvinātu sociālo pakalpojumu sociālo pakalpojumu sniedzēju reģistrā atbilstoši normatīvajiem aktiem par sociālo pakalpojumu sniedzēju reģistrēšanu.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izņemot projekta iesniegumu, izstrāde, tai skaitā arī metu konkursa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 pārbūve vai atjaunošana, teritorijas labiekārtošana, būvekspertīze, būvuzraudzība, autoruzraudzība, energosertifikācija un energoaudits;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atsavināšana, tai skaitā nekustamā īpašuma iegāde, atsavināšana sabiedrības vajadzībām un nekustamā īpašuma tirgus cenas novērtēšana;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materiāltehniskā nodrošinājuma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pieejamības ekspertu konsultācijas šo noteikumu </w:t>
      </w:r>
      <w:r w:rsidR="00000000" w:rsidRPr="00000000" w:rsidDel="00000000">
        <w:rPr>
          <w:rtl w:val="0"/>
        </w:rPr>
        <w:t xml:space="preserve">14.1.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14.4.</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sabiedrības informēšanas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attiecināmās personāla izmaksas – projekta vadības un īstenošanas personāla izmaksas, izņemot virsstundas. Ja personāla iesaiste projektā ir nodrošināta saskaņā ar daļlaika izmaksu attiecināmības principu, attiecināma ir ne mazāka kā 30 procentu noslodze. Ja personāls ir nodarbināts nepilnu darba laiku, izmaksas nosakāmas atbilstoši nepilnā darba laika noslodzei. Personāla atlīdzības izmaksām jābūt atbilstošām finansējuma saņēmēja iestādes atlīdzības sistēmā noteiktajai samaksai par līdzvērtīga darba veikšanu vai atbilstošām vidējai darba samaksai saskaņā ar Latvijas Republikas Centrālās statistikas pārvaldes datiem par līdzvērtīgu darbu attiecīgajā nozarē;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īstenošanai, ņemot vērā, ka iepirkumu līgumu izmaksas šo noteikumu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14.6.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atbalstāmās darbības īstenošanai piemēro, ja pakalpojuma sniedzēju piesaista komunikācijas un vizuālās identitātes prasību nodrošināšanai un sabiedrības informēšanai, bet šo noteikumu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minētās atbalstāmās darbības īstenošanai, ja pakalpojuma sniedzēju piesaista projekta vadības un īstenošanas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žūrijas komisijas darbības un atlīdzības un godalgu izmaksas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minētās projekta īstenošanu pamatojošās dokumentācijas izstrādei;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nekustamā īpašuma iegādei un nekustamā īpašuma tirgus cenas novērtēšanai, kā arī izmaksas, kas saistītas ar nekustamā īpašuma iegādi un atsavināšanu;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(dienesta) braucienu izmaksas šo noteikumu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minētās atbalstāmās darbības īstenošanai, ja projekta vadības un īstenošanas personāls piesaistīts uz darba tiesisko attiecību pamata. Iekšzemes komandējumu un darba (dienesta) braucienu izmaksām piemēro vadošās iestādes metodikas par vienas vienības izmaksu standarta likmes aprēķinu un piemērošanu viena km izmaksām un iekšzemes komandējuma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izmaksu plānošanā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sagatavošanas, būvuzraudzības, autoruzraudzības, būvprojekta tehniskā projekta vai skiču projekta stadijā būvekspertīzes, energosertifikācijas un energoaudita izmaksas nepārsniedz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žūrijas komisijas darbības un atlīdzības un godalgu izmaksas var paredzēt, ja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projekta īstenošanu pamatojošās dokumentācijas izstrādei organizē metu konkursu;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labiekārtošanai izmaksas plāno tādā apmērā, lai izveidotu teritoriju atpūtas un brīvā laika pavadīšanai, rehabilitācijai un rekreācijai, nodrošinātu vides piekļūstamību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mērķa grupas personām un citiem teritorijas un būves lietotājiem, paredzētu piekļuvi zemes vienībai, uz kuras tiek veidota ģimeniskai videi pietuvinātā pakalpojuma infrastruktūra, ietverot arī servitūta ceļa nodibināšanu un būvniecību un funkcionāli nepieciešamo inženiertehnisko apgādi arī ārpus ministrijas valdījumā esošās zemes vienības, kā arī lai atbilstoši normatīvajiem aktiem būvniecības jomā nodrošinātu būves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16.2.3.</w:t>
      </w:r>
      <w:r w:rsidR="00000000" w:rsidRPr="00000000" w:rsidDel="00000000">
        <w:rPr>
          <w:rtl w:val="0"/>
        </w:rPr>
        <w:t xml:space="preserve"> apakšpunktā</w:t>
      </w:r>
      <w:r w:rsidR="00000000" w:rsidRPr="00000000" w:rsidDel="00000000">
        <w:rPr>
          <w:rtl w:val="0"/>
        </w:rPr>
        <w:t xml:space="preserve"> minētās izmaksas nepārsniedz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īstenošanas un vadības personālam jaunu darba vietu radīšanai vai gadījumā, ja esošas darba vietas aprīkojums ir nolietojies un tiek norakstīts, ne vairāk kā 3 000 </w:t>
      </w:r>
      <w:r w:rsidR="00000000" w:rsidRPr="00000000" w:rsidDel="00000000">
        <w:rPr>
          <w:i w:val="1"/>
          <w:rtl w:val="0"/>
        </w:rPr>
        <w:t xml:space="preserve">euro</w:t>
      </w:r>
      <w:r w:rsidR="00000000" w:rsidRPr="00000000" w:rsidDel="00000000">
        <w:rPr>
          <w:rtl w:val="0"/>
        </w:rPr>
        <w:t xml:space="preserve"> apmērā vienai darba vietai projekta īstenošanas laikā. Ja personāls ir nodarbināts normālu darba laiku, darba vietas aprīkojuma iegādes vai nomas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minētās atbalstāmās darbības īstenošanai var paredzēt transporta pakalpojumu izmaksas (transportlīdzekļa noma, transporta pakalpojumu pirkšana, maksa par degvielu).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piemērojot netiešo izmaksu vienoto likmi 15 procentu apmērā no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minētajām tiešajām personāla izmaksām,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w:t>
      </w:r>
      <w:r w:rsidR="00000000" w:rsidRPr="00000000" w:rsidDel="00000000">
        <w:rPr>
          <w:rtl w:val="0"/>
        </w:rPr>
        <w:t xml:space="preserve"> minētās neparedzētās izmaksas finansējuma saņēmējs var plānot kā vienu izmaksu pozīciju, kas nepārsniedz piecus procentus no šo noteikumu </w:t>
      </w:r>
      <w:r w:rsidR="00000000" w:rsidRPr="00000000" w:rsidDel="00000000">
        <w:rPr>
          <w:rtl w:val="0"/>
        </w:rPr>
        <w:t xml:space="preserve">15.1.</w:t>
      </w:r>
      <w:r w:rsidR="00000000" w:rsidRPr="00000000" w:rsidDel="00000000">
        <w:rPr>
          <w:rtl w:val="0"/>
        </w:rPr>
        <w:t xml:space="preserve"> apakšpunktā</w:t>
      </w:r>
      <w:r w:rsidR="00000000" w:rsidRPr="00000000" w:rsidDel="00000000">
        <w:rPr>
          <w:rtl w:val="0"/>
        </w:rPr>
        <w:t xml:space="preserve"> minētajām kopējām projekta tiešajām attiecināmajām izmaksām, un tās var izmantot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w:t>
      </w:r>
      <w:r w:rsidR="00000000" w:rsidRPr="00000000" w:rsidDel="00000000">
        <w:rPr>
          <w:rtl w:val="0"/>
        </w:rPr>
        <w:t xml:space="preserve"> minēto izmaksu segšanai. Neparedzēto izmaksu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vien tas nav atgūstams saskaņā ar normatīvajiem aktiem nodokļu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izmaksu veikšanai sadarbības iestāde finansējuma saņēmējam veic avansa un starpposma maksājumus atbilstoši normatīvajiem aktiem, kas nosaka valsts budžeta līdzekļu plānošanas kārtību Eiropas Savienības fondu projektu īstenošanai un maksājumu veikšanai 2021.–2027. gada plānošanas periodā, nodrošinot avansa un starpposma maksājumu kopsummu 100 procentu apmērā no projekta apstiprinātā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atbilst iespējai to izlietot deviņu mēnešu laikā saimnieciskā gada ietvaros. Finansējuma saņēmējam avansu sadarbības iestāde var piešķirt līdz 30 procentiem no projekta apstiprinātā kopējā attiecināmā finansējuma, ievērojot, ka avansu var izmaksāt vairākos maksājumos.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īstenošanu pārvalda un ģimeniskai videi pietuvināta pakalpojuma infrastruktūras izveidei izvēlētās vietas saskaņo Labklājības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tai skaitā īstenojot iepirkumu līgumus,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jomas normatīvajos aktos noteiktās dokumentācijas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energoefektivitātes novērtēšanu, ja tā ir priekšnosacījums būvniecības jomas normatīvajos aktos noteiktās dokumentācijas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īstenošanai nepieciešamās pamatojošās dokumentācijas izstrādi, ja tā ir nepieciešama 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atbalstāmās darbības ietvaros finansējuma saņēmējs, tai skaitā īstenojot iepirkumu līgumus,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infrastruktūras izveidi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mērķa grupas personām atbilstoši būvniecības jomā noteiktajiem normatīvajiem aktiem, ietverot šo noteikumu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minēto teritorijas labiekārtošanu, vides piekļūstamību, piekļuvi zemes vienībai, uz kuras tiek veidota ģimeniskai videi pietuvinātā pakalpojuma infrastruktūra, un funkcionāli nepieciešamo inženiertehnisko apgādi;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būvniecības jomas normatīvajos aktos noteiktajām prasībām – vides pieejamības ekspertu konsultācijas un specifiskas darbības vides un informācijas pieejamības nodrošināšanai personām 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 un pārvietošanās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garīga rakstura traucējumiem.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minētā nekustamā īpašuma atsavināšanu,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balstās uz saimnieciskuma principu, kā arī pamato nekustamā īpašuma iegādes nepieciešamību un saikni ar projekta mērķi;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 izdevumus tāda nekustamā īpašuma iegādei, kas nav citam atsavināts, ieķīlāts, iznomāts vai nodots lietojumā, kas netiek izmantots kā komersanta juridiskā adrese un tajā nav deklarēta fiziskas vai juridiskas personas adrese, tas nav apgrūtināts ar parādiem vai saistībām un tam nav uzlikts aizliegums vai arests, kā arī par nekustamo īpašumu ir samaksāti visi tam piemērojamie nodokļi, kas bija jāsamaksā līdz darījuma noslēgšanai;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attiecīgi Publiskas personas mantas atsavināšanas likumā vai Sabiedrības vajadzībām nepieciešamā nekustamā īpašuma atsavināšanas likumā noteikto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w:t>
      </w:r>
      <w:r w:rsidR="00000000" w:rsidRPr="00000000" w:rsidDel="00000000">
        <w:rPr>
          <w:rtl w:val="0"/>
        </w:rPr>
        <w:t xml:space="preserve"> minētās atbalstāmās darbības ietvaros finansējuma saņēmējs, tai skaitā īstenojot iepirkumu līgumus, nodrošina telpu aprīkošanai un ģimeniskai videi pietuvināta pakalpojuma sniegšanai nepieciešamā materiāltehniskā aprīkojuma iegādi, kā arī datoru, datorprogrammatūras, tehnisko palīglīdzekļu un citu nepieciešamo ierīču un materiālu iegādi.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14.5.</w:t>
      </w:r>
      <w:r w:rsidR="00000000" w:rsidRPr="00000000" w:rsidDel="00000000">
        <w:rPr>
          <w:rtl w:val="0"/>
        </w:rPr>
        <w:t xml:space="preserve"> apakšpunktā</w:t>
      </w:r>
      <w:r w:rsidR="00000000" w:rsidRPr="00000000" w:rsidDel="00000000">
        <w:rPr>
          <w:rtl w:val="0"/>
        </w:rPr>
        <w:t xml:space="preserve"> atbalstāmās darbības ietvaros finansējuma saņēmējs, tai skaitā īstenojot iepirkumu līgumus, nodrošina konsultāciju sniegšanu atbilstoši būvju vispārīgo prasību būvnormatīvā LBN 200-21 noteiktajām minimālajām vides pieejamības prasībām un Labklājības ministrijas izstrādātajiem labās prakses ieteikumiem vides piekļūstamības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atbalstāmo darbību īsteno finansējuma saņēmējs, ja nepieciešams, sadarbojoties ar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minētajiem sadarbības partneriem un īstenojot iepirkumu līgumus.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darba tiesiskās attiecības ar projekta vadības un īstenošanas personālu vai piesaista pakalpojuma sniedzēju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kārtībā. Paredzot projekta vadības un īstenošanas personāla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un atbilst projekta darbības specifikai, īstenojot sociāli atbildīgus, inovatīvus un zaļos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avansa maksājumu paredz ne vairāk kā 50 procentu apmērā no attiecīgās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īstenošanai nepieciešamo personālu, slēdz sadarbības līgumus ar sadarbības partneriem vai īsteno publiskos iepirkumus, nodrošinot, ka projekta īstenošanas laikā tiek ievēroti interešu konflikta, korupcijas un krāpšanas novēršanas nosacījumi, vismaz paredzot, ka projekta vadībā un īstenošanā iesaistītais personāls, sadarbības partnera personāls, kas iesaistīts projekta īstenošanā,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2024. gada 23. septembra Regulas (ES, Euratom) </w:t>
      </w:r>
      <w:r w:rsidR="00000000" w:rsidRPr="00000000" w:rsidDel="00000000">
        <w:rPr>
          <w:rtl w:val="0"/>
        </w:rPr>
        <w:t xml:space="preserve">2024/</w:t>
      </w:r>
      <w:r w:rsidR="00000000" w:rsidRPr="00000000" w:rsidDel="00000000">
        <w:rPr>
          <w:rtl w:val="0"/>
        </w:rPr>
        <w:t xml:space="preserve">2509 par finanšu noteikumiem, ko piemēro Savienības vispārējam budžetam (pārstrādāta redakcija) (turpmāk – regula </w:t>
      </w:r>
      <w:r w:rsidR="00000000" w:rsidRPr="00000000" w:rsidDel="00000000">
        <w:rPr>
          <w:rtl w:val="0"/>
        </w:rPr>
        <w:t xml:space="preserve">2024/2</w:t>
      </w:r>
      <w:r w:rsidR="00000000" w:rsidRPr="00000000" w:rsidDel="00000000">
        <w:rPr>
          <w:rtl w:val="0"/>
        </w:rPr>
        <w:t xml:space="preserve">509),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16.2.2.</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žūrijas komisijas dalībnieki pirms metu konkursa pieteikuma izvērtēšanas paraksta apliecinājumu, ka nav saistīti ar labuma guvēju likuma "Par interešu konflikta novēršanu valsts amatpersonu darbībā" izpratnē un regulas 2024/2509 61. panta izpratnē;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novērš dubultfinansēšanas riskus un nodrošina, ka projekta ietvaros atbalstāmās darbības un to izmaksas netiek finansētas, kā arī tās nav plānots finansēt no citiem valsts, pašvaldības vai ārvalstu finanšu palīdzības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komunikācijas un vizuālās identitātes prasību nodrošināšanu atbilstoši regulas Nr. 2021/1060 47. un 50. pantam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informācijas un vides piekļūstamību, atšķirīgas attieksmes aizlieguma ievērošanu personas vecuma, dzimuma, reliģiskās, politiskās vai citas pārliecības, seksuālās orientācijas, invaliditātes, rases vai etniskās piederības dēļ un vienlīdzīgu iespēju principu ievērošanu, kā arī nodrošina, ka tiks virzīti pasākumi, kas sekmē darba un ģimenes dzīves saskaņošanu, paredzot attālināta darba laika iespēju un nepilna laika darba iespēju radīšanu vecākiem ar bērniem, kā arī sievietēm un vīriešiem nodrošina vienādu samaksu par vienādas vērtības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ieguldījumu infrastruktūrā atbilstību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nekustamais īpašums, uz kura plānots būvēt ēku, kas paredzēta ģimeniskai videi pietuvināta pakalpojuma izveidei, ir Labklājības ministrijas valdījumā vai līdz projekta īstenošanas beigām tiks nostiprināts zemesgrāmatā uz valsts vārda Labklājības ministrijas personā;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ka  projekta īstenošanai piešķirtie līdzekļi, kas paredzēti, lai izveidotu piekļuvi šo noteikumu </w:t>
      </w:r>
      <w:r w:rsidR="00000000" w:rsidRPr="00000000" w:rsidDel="00000000">
        <w:rPr>
          <w:rtl w:val="0"/>
        </w:rPr>
        <w:t xml:space="preserve">30.11. </w:t>
      </w:r>
      <w:r w:rsidR="00000000" w:rsidRPr="00000000" w:rsidDel="00000000">
        <w:rPr>
          <w:rtl w:val="0"/>
        </w:rPr>
        <w:t xml:space="preserve">apakšpunktā</w:t>
      </w:r>
      <w:r w:rsidR="00000000" w:rsidRPr="00000000" w:rsidDel="00000000">
        <w:rPr>
          <w:rtl w:val="0"/>
        </w:rPr>
        <w:t xml:space="preserve"> minētajam īpašumam, tostarp nodrošinātu servitūta ceļa nodibināšanu un būvniecību un funkcionāli nepieciešamo inženiertehnisko apgādi, tiek ieguldīti saskaņā ar pareizas finanšu pārvaldības principu, ievērojot saimnieciskuma, lietderības un efektivitātes principus;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neplāno fosilo energoresursu tehnoloģiju uzstādīšanu un, ciktāl tas ir attiecināms,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14.4.</w:t>
      </w:r>
      <w:r w:rsidR="00000000" w:rsidRPr="00000000" w:rsidDel="00000000">
        <w:rPr>
          <w:rtl w:val="0"/>
        </w:rPr>
        <w:t xml:space="preserve"> apakšpunktā minēto atbalstāmo darbību īstenošanai tehniskās specifikācijas prasībās iekļauj informāciju, kas pamato, ka paredzētie risinājumi ir videi draudzīgi un energoefektīvi un atbalsta horizontālā principa "Nenodarīt būtisku kaitējumu" (Eiropas Parlamenta un Padomes 2020. gada 18. jūnija Regulas (ES) 2020/852 par regulējuma izveidi ilgtspējīgu ieguldījumu veicināšanai un ar ko groza Regulu (ES) 2019/2088, 17. panta nozīmē) mērķu ievērošanu: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klimata pārmaiņu mazināšanai;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spējai pielāgoties klimata pārmaiņām;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ilgtspējīgai ūdens un jūras resursu izmantošanai un aizsardzībai;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pārejai uz aprites ekonomiku, ieskaitot atkritumu rašanās novēršanu un to reciklēšanu;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piesārņojuma novēršanai un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bioloģiskās daudzveidības un ekosistēmu aizsardzībai un atjaunošanai;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horizontālajiem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ar Eiropas Reģionālās attīstības fonda ieguldījumiem ir nodrošināta vides un informācijas pieejamība;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grāmatvedību regulējošo normatīvo aktu prasībām un vispārpieņemtiem grāmatvedības kārtošanas principiem, piemēram, izveidojot atbilstošu uzskaites kodu sistēmu par projekta īstenošanai veiktajiem darījumiem.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Labklājības ministrija nodrošina projekta rezultātu ilgtspēju vismaz piecus gadus pēc noslēguma maksājuma veikšanas finansējuma saņēmējam, izmantojot projekta ietvaros radīto infrastruktūru ģimeniskai videi pietuvināta pakalpojuma sniegšanai.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pasākuma ietvaros izveidojamā ģimeniskai videi pietuvinātā pakalpojuma infrastruktūra projekta īstenošanas laikā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minētajā periodā vai ieguldījumu amortizācijas periodā kļūst par infrastruktūru, kas saistīta ar saimniecisko darbību, kurai sniegtais atbalsts būtu kvalificējams kā komercdarbības atbalsts, finansējuma saņēmējs atmaksā sadarbības iestādei nelikumīgi saņemto atbalstu saskaņā ar Komercdarbības atbalsta kontroles likuma IV vai V nodaļu. Ja paredzēts mainīt ģimeniskai videi pietuvinātā pakalpojuma infrastruktūras izmantošanas nosacījumus ieguldījumu amortizācijas periodā un tā rezultātā projekta darbības būs saistītas ar saimniecisko darbību, kurai sniegtais atbalsts būtu kvalificējams kā komercdarbības atbalsts, Labklājības ministrija iesniedz sadarbības iestādē informāciju par plānotajām izmaiņām.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24-TA-2653</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24-TA-2653</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noteikumu_konsolidētā_versija_24-TA-2653.docx</dc:title>
</cp:coreProperties>
</file>

<file path=docProps/custom.xml><?xml version="1.0" encoding="utf-8"?>
<Properties xmlns="http://schemas.openxmlformats.org/officeDocument/2006/custom-properties" xmlns:vt="http://schemas.openxmlformats.org/officeDocument/2006/docPropsVTypes"/>
</file>