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w:t>
      </w:r>
      <w:r w:rsidR="00000000" w:rsidRPr="00000000" w:rsidDel="00000000">
        <w:rPr>
          <w:rStyle w:val="paragraph"/>
          <w:i w:val="1"/>
          <w:rtl w:val="0"/>
        </w:rPr>
        <w:t xml:space="preserve">a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(turpmāk – specifiskais atbalsta mērķis) 5.1.1.3. pasākumu "Publiskās ārtelpas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finansējumu un katrā plānošanas reģiona teritorijā pieejamo finansējumu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projekta sadarbības partneriem (ja tos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 katra plānošanas reģiona teritorijas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īstenošanu nodrošina Vides aizsardzības un reģionālās attīstības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publiskās ārtelpas attīstīšana pilsētu funkcionālajās teritorijās, uzlabojot dzīves vides kvalitāti un palielinot sabiedrības drošību.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mērķgrupa ir nacionālas un reģionālas nozīmes attīstības centru un to funkcionālo teritoriju pašvaldību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līdz 2029. gada 31. decembrim, sasniedzot programmas iznākuma rādītāju – jaunizveidotas vai atjaunotas atvērtās zonas (publiskās teritorijas) pilsētvidē – 131 897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minētais iznākuma rādītājs ir sasniegts, kad finansējuma saņēmējs sadarbības iestādei ir iesniedzis pamatojošos dokumentus par projektā plānoto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vai </w:t>
      </w:r>
      <w:r w:rsidR="00000000" w:rsidRPr="00000000" w:rsidDel="00000000">
        <w:rPr>
          <w:rtl w:val="0"/>
        </w:rPr>
        <w:t xml:space="preserve">25.3.</w:t>
      </w:r>
      <w:r w:rsidR="00000000" w:rsidRPr="00000000" w:rsidDel="00000000">
        <w:rPr>
          <w:rtl w:val="0"/>
        </w:rPr>
        <w:t xml:space="preserve"> apakšpunktā</w:t>
      </w:r>
      <w:r w:rsidR="00000000" w:rsidRPr="00000000" w:rsidDel="00000000">
        <w:rPr>
          <w:rtl w:val="0"/>
        </w:rPr>
        <w:t xml:space="preserve"> noteikto darbību pabeigšanu.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nosacījumu izpildi, plānošanas reģiona pārstāvis piedalās projektu iesniegumu vērtēšanas komisijā.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un pieejamais kopējais finansējums ir ne mazāks kā 31 207 009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26 525 957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4 681 052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ERAF finansējums 4 258 392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ERAF finansējums 7 259 804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ERAF finansējums 3 924 916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ERAF finansējums 4 917 108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ERAF finansējums 6 165 737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intensitāte projekta iesniegumā norādītajai attiecināmajai izmaksu pozīcijai nepārsniedz 85 procentus ERAF finansējuma no attiecīgās izmaksu pozīcijas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minimālais attiecināmo izmaksu apmērs nav mazāks par 200 000 (ieskaitot)</w:t>
      </w:r>
      <w:r w:rsidR="00000000" w:rsidRPr="00000000" w:rsidDel="00000000">
        <w:rPr>
          <w:i w:val="1"/>
          <w:rtl w:val="0"/>
        </w:rPr>
        <w:t xml:space="preserve"> euro</w:t>
      </w:r>
      <w:r w:rsidR="00000000" w:rsidRPr="00000000" w:rsidDel="00000000">
        <w:rPr>
          <w:rtl w:val="0"/>
        </w:rPr>
        <w:t xml:space="preserve">. Projekta maksimālais ERAF finansējums ir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Vienas pašvaldības ietvaros iesniedz ne vairāk kā divus projekta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Vienā projektā iekļauj vienu publisko ārtelpu jeb vienu ģeogrāfiski vienotu teritoriju.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(ja to pieaicina)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slēdzot rakstisku sadarbības līgumu, par sadarbības partneri var piesaistīt sabiedrisko (ūdenssaimniecības un (vai) siltumapgādes) pakalpojumu sniedzēju ūdenssaimniecības un siltumapgādes pieslēgumu ierīkošanai un to saistītās jaudas palielināšanai publiskās tualetes un publiski pieejama dzeramā ūdens ieguves vietas ierīkošanai vai citiem pasākumiem, kas nepieciešami publiskās ārtelpas attīstīšanai.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partneris – ūdenssaimniecības un (vai) siltumapgādes sabiedrisko pakalpojumu sniedzējs – ar pašvaldību noslēdz pakalpojuma līgumu par ūdenssaimniecības un (vai) siltumapgādes sabiedrisko pakalpojumu sniegšanu. Pakalpojuma līgumā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un (vai) siltumapgādes pakalpojumu sniegšanas infrastruktūrā – un atlīdzības (kompensācijas) maksājumu aprēķināšanas, kontroles un pārskatīšanas, kā arī atlīdzības (kompensācijas) maksājumu pārmaksas novēršanas un atmaksāšanas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w:t>
      </w:r>
      <w:r w:rsidR="00000000" w:rsidRPr="00000000" w:rsidDel="00000000">
        <w:rPr>
          <w:rtl w:val="0"/>
        </w:rPr>
        <w:t xml:space="preserve">Nr. 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sadarbības partneris ir pašvaldības aģentūra, kas ir ūdenssaimniecības un (vai) siltumapgādes sabiedrisko pakalpojumu sniedzējs, tad pašvaldība izdod saistošos noteikumus par ūdenssaimniecības un (vai) siltumapgādes sabiedrisko pakalpojumu sniegšanu. Pašvaldības saistošajos noteikumos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ūdenssaimniecības un (vai) siltumapgādes sabiedrisko pakalpojumu sniegšanā, tai skaitā sniedzamos ūdenssaimniecības sabiedrisko pakalpojumu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(vai) siltumapgādes sabiedrisko pakalpojumu tarifus;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(vai) siltumapgādes sabiedrisko pakalpojumu sniedzējam uzturēt un atjaunot nepieciešamo tehnisko aprīkojumu, lai pakalpojumus varētu sniegt atbilstoši katram pakalpojuma veidam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w:t>
      </w:r>
      <w:r w:rsidR="00000000" w:rsidRPr="00000000" w:rsidDel="00000000">
        <w:rPr>
          <w:rtl w:val="0"/>
        </w:rPr>
        <w:t xml:space="preserve">Nr. 2012/21/ES</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ūdenssaimniecības un (vai) siltumapgādes sabiedrisko pakalpojumu sniedz pašvaldība vai tās iestāde, pašvaldība pieņem lēmumu par ūdenssaimniecības un (vai) siltumapgādes sabiedrisko pakalpojumu sniegšanu. Lēmumā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(vai) siltumapgādes sabiedriskajiem pakalpojumiem, tai skaitā nepieciešamo infrastruktūru;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w:t>
      </w:r>
      <w:r w:rsidR="00000000" w:rsidRPr="00000000" w:rsidDel="00000000">
        <w:rPr>
          <w:rtl w:val="0"/>
        </w:rPr>
        <w:t xml:space="preserve">Nr. 2012/21/ES</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un sadarbības partnera (ja attiecināms)  interešu konflikta neesību.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Projektā iekļauj šādas atbalstāmās darbības, kas ietver investīcijas publiskās ārtelpas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ūdenssaimniecības un siltumapgādes pieslēgumu ierīkošana un to saistītās jaudas palielināšana;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dziļurbuma ierīkošana dzeramā ūdens padeves nodrošināšanai, ja pieslēgšanās centralizētajai ūdensapgādes sistēmai nav iespējama;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būvuzraudzības, autoruzraudzības, būvprojekta tehniskā projekta vai skiču projekta stadijā izmaksas, energosertifikācijas un energoaudita izmaksas,  vides pieejamības ekspertu un ainavu arhitektu konsultāciju izmaksas. Minētās izmaksas kopā nepārsniedz 10 procentus no projekta plānotajām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ārtelpas labiekārtošana, ietverot "zaļās" un "zilās" infrastruktūras attīstību,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nojaukšana un teritorijas attīrīšana;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elektrotīklu un vājstrāvu tīklu izbūve vai esošo vājstrāvu tīklu pārbūve, kas nepieciešama projekta teritorijas labiekārtošanai un drošībai, tai skaitā apgaismojumam, videonovērošanai, un elektrouzlādes punktu ierīkošana digitālo ierīču uzlādei un mikromobilitātes atbalstam (izņemot bezemisiju transportlīdzekļa darbībai paredzētās uzlādes infrastruktūras attīstību);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krastu nostiprināšana un labiekārtošana pie publiskajiem ūdeņiem, tai skaitā peldvietās;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gājēju kustībai nepieciešamās infrastruktūras attīstīšana, 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lietusūdeņu savākšanas un novadīšanas sistēmu attīstīšana, tai skaitā ūdenscaurlaidīgi segumi ietvēm, laukumiem,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videi draudzīga apgaismojuma izbūve, tai skaitā inovatīvi apgaismojuma risinājumi, kas ietver atjaunojamos energoresursus izmantojošas enerģiju ražojošas iekārtas, un viedo tehnoloģiju iegāde un uzstādīšana, ievērojot, ka 100 procenti no gadā saražotās enerģijas tiek izmantoti pašpatēriņam;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dzeramā ūdens brīvkrānu ierīkošana;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 tualešu izbūve un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žogu izbūve, tai skaitā dzīvžogi, "zaļās" sienas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"zaļās" salas);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lietošanai ārtelpā paredzēto soliņu un galdu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velosipēdu novietņu ierīkošana;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atkritumu šķirošanas tvertņu iegāde un uzstādīšana, tai skaitā pazemē iebūvētas tvertnes, kas ir daļa no publiskās ārtelpas infrastruktūras;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elektrouzlādes punktu ierīkošana digitālo ierīču uzlādei un mikromobilitātes atbalstam;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teritorijas labiekārtošanas ietvaros paredzētās vizuālās mākslas un dizaina objektu iegādes un uzstādīšanas izmaksas ir attiecināmas līdz 10 procentiem no projekta plānotajām kopējām attiecināmajām izmaksām, ja tie vienlaikus ir arī funkcionāli izmantojami;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citu ārtelpas labiekārtošanas darbu un normatīvajos aktos par atsevišķu inženierbūvju būvnoteikumiem noteikto atsevišķo labiekārtojuma elementu iegādes un uzstādīšanas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publiskās tualetes un publiski pieejama dzeramā ūdens ieguves vietas (brīvkrāna) ierīkošanai vai citiem pasākumiem, kas nepieciešami publiskās ārtelpas attīstīšanai;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virszemes un pazemes komunikāciju infrastruktūras pārbūve, nepalielinot tās apkalpes jaudu raksturojošos tehniskos parametrus, ja, veicot projektā plānotās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informācijas un publicitātes pasākumu izmaksas atbilstoši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pantam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personāla atlīdzības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26.2.2.</w:t>
      </w:r>
      <w:r w:rsidR="00000000" w:rsidRPr="00000000" w:rsidDel="00000000">
        <w:rPr>
          <w:rtl w:val="0"/>
        </w:rPr>
        <w:t xml:space="preserve"> apakšpunktā</w:t>
      </w:r>
      <w:r w:rsidR="00000000" w:rsidRPr="00000000" w:rsidDel="00000000">
        <w:rPr>
          <w:rtl w:val="0"/>
        </w:rPr>
        <w:t xml:space="preserve"> minētās izmaksas ir attiecināmas, ja pēc ieguldījumu veikšanas elektrotīkli un vājstrāvu tīkli, apgaismojuma elementi, videonovērošanas kameras un elektrouzlādes punktu aprīkojums paliek finansējuma saņēmēja īpašumā.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w:t>
      </w:r>
      <w:r w:rsidR="00000000" w:rsidRPr="00000000" w:rsidDel="00000000">
        <w:rPr>
          <w:rtl w:val="0"/>
        </w:rPr>
        <w:t xml:space="preserve"> apakšpunktā</w:t>
      </w:r>
      <w:r w:rsidR="00000000" w:rsidRPr="00000000" w:rsidDel="00000000">
        <w:rPr>
          <w:rtl w:val="0"/>
        </w:rPr>
        <w:t xml:space="preserve"> minētās atbalstāmās darbības attiecināmās izmaksas saskaņā ar regulas </w:t>
      </w:r>
      <w:r w:rsidR="00000000" w:rsidRPr="00000000" w:rsidDel="00000000">
        <w:rPr>
          <w:rtl w:val="0"/>
        </w:rPr>
        <w:t xml:space="preserve">Nr. 2021/1060</w:t>
      </w:r>
      <w:r w:rsidR="00000000" w:rsidRPr="00000000" w:rsidDel="00000000">
        <w:rPr>
          <w:rtl w:val="0"/>
        </w:rPr>
        <w:t xml:space="preserve">  55. panta 1. punktu projekta iesniegumā plāno kā vienu izmaksu pozīciju, piemērojot vienoto izmaksu likmi piecu procentu apmērā no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minētajām tiešajām attiecināmajām izmaksām, kas neietver šo noteikumu </w:t>
      </w:r>
      <w:r w:rsidR="00000000" w:rsidRPr="00000000" w:rsidDel="00000000">
        <w:rPr>
          <w:rtl w:val="0"/>
        </w:rPr>
        <w:t xml:space="preserve">26.7.</w:t>
      </w:r>
      <w:r w:rsidR="00000000" w:rsidRPr="00000000" w:rsidDel="00000000">
        <w:rPr>
          <w:rtl w:val="0"/>
        </w:rPr>
        <w:t xml:space="preserve"> apakšpunktā</w:t>
      </w:r>
      <w:r w:rsidR="00000000" w:rsidRPr="00000000" w:rsidDel="00000000">
        <w:rPr>
          <w:rtl w:val="0"/>
        </w:rPr>
        <w:t xml:space="preserve"> minētās tiešās attiecināmās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administratīvās izmaksas, kuras plāno kā vienu izmaksu pozīciju, piemērojot netiešo izmaksu vienoto likmi 15 procentu apmērā no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w:t>
      </w:r>
      <w:r w:rsidR="00000000" w:rsidRPr="00000000" w:rsidDel="00000000">
        <w:rPr>
          <w:rtl w:val="0"/>
        </w:rPr>
        <w:t xml:space="preserve">Nr. 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minētās ūdenssaimniecības un siltumapgādes infrastruktūras izmaksas ir attiecināmas, ja atbalstītie infrastruktūras objekti pēc projekta īstenošanas ir sabiedrisko pakalpojumu sniedzēju īpašumā.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otrajā kalendāra gadā pēc projekta īstenošanas informēt sadarbības iestādi par enerģijas patēriņu (megavatstundas) pirmajā kalendāra gadā pēc projekta īstenošanas.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gaitā radušos sadārdzinājumu finansējuma saņēmējs sedz no saviem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projektu īsteno termiņā, ko nosaka civiltiesiskais līgums vai vienošanās par projekta īstenošanu, bet ne ilgāk kā līdz 2026. gada 31. decembrim. Finansējuma saņēmējs var lūgt sadarbības iestādi, pamatojot objektīvu nepieciešamību, veikt grozījumus civiltiesiskajā līgumā vai vienošanās nosacījumos par projekta īstenošanu un pagarināt projekta īstenošanas termiņu,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rādītāju;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ERAF ieguldījumiem ir nodrošināta vides un informācijas pieejamība;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Jaunā Eiropas Bauhaus principus: estētika, ilgtspēja, iekļautība, tai skaitā nodrošinot publiskās ārtelpas attīstības risinājumu iekļaušanos apkārtējā ainavā, kā arī dabā balstīto risinājumu un universālā dizaina principu ievērošanu;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38.2.</w:t>
      </w:r>
      <w:r w:rsidR="00000000" w:rsidRPr="00000000" w:rsidDel="00000000">
        <w:rPr>
          <w:rtl w:val="0"/>
        </w:rPr>
        <w:t xml:space="preserve"> 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iznākuma rādītāja vērtības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38.6.</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lai pasākuma ietvaros plānotais atbalsts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regulas </w:t>
      </w:r>
      <w:r w:rsidR="00000000" w:rsidRPr="00000000" w:rsidDel="00000000">
        <w:rPr>
          <w:rtl w:val="0"/>
        </w:rPr>
        <w:t xml:space="preserve">Nr. 2021/1060</w:t>
      </w:r>
      <w:r w:rsidR="00000000" w:rsidRPr="00000000" w:rsidDel="00000000">
        <w:rPr>
          <w:rtl w:val="0"/>
        </w:rPr>
        <w:t xml:space="preserve">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ieguldījumus infrastruktūrā var veikt: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 sadarbības partnera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vai valdījumā esošā īpašumā,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Īpašuma vai valdījuma tiesības attiecībā uz atbalstītajiem infrastruktūras objektiem nemaina, un ieguldījums paliek Latvijas Republikas teritorijā vismaz piecus gadus pēc projekta noslēguma maksājuma veikšanas finansējuma saņēmējam. Īpašuma vai valdījuma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civiltiesiskā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ietvaros netiek atbalstītas darbības, kurām sniegtais atbalsts ir kvalificējams kā komercdarbības atbalsts, izņemot komercdarbības atbalstu ūdenssaimniecības un (vai) siltumapgādes sabiedrisko pakalpojumu sniedzējam. Ja ar saimniecisko darbību nesaistīts projekts, kura attiecināmās izmaksas atbilst jebkurām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ietvaros attīstītajā ar nesaimniecisko darbību saistītā infrastruktūrā projekta ieviešanas gaitā un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335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šajos noteikumos noteiktajām komercdarbības atbalsta piešķiršanas prasībām vispārējas tautsaimnieciskas nozīmes pakalpojumu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Ūdenssaimniecības un (vai) siltumapgādes sabiedrisko pakalpojumu sniedzējam kā grūtībās nonākušam uzņēmumam komercdarbības atbalsts netiek piešķirts, ja tas atbilst vismaz vienai no Komisijas 2014. gada 17. jūnija Regulas </w:t>
      </w:r>
      <w:r w:rsidR="00000000" w:rsidRPr="00000000" w:rsidDel="00000000">
        <w:rPr>
          <w:rtl w:val="0"/>
        </w:rPr>
        <w:t xml:space="preserve">Nr. 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vai sadarbības partneris projekta īstenošanai nepieciešamo būvdarbu, pakalpojumu vai piegādes iepirkumu veic saskaņā ar normatīvajiem aktiem publisko iepirkumu jomā, īstenojot atklātu, pārredzamu, nediskriminējošu un konkurenci nodrošinošu iepirkumu vai iepirkumu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 un veic sociāli atbildīgu iepirkumu, kur tas ir attiecināms un atbilst ieguldījumu specifikai.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26-TA-724</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26-TA-724</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noteikumu_konsolidētā_versija_26-TA-724.docx</dc:title>
</cp:coreProperties>
</file>

<file path=docProps/custom.xml><?xml version="1.0" encoding="utf-8"?>
<Properties xmlns="http://schemas.openxmlformats.org/officeDocument/2006/custom-properties" xmlns:vt="http://schemas.openxmlformats.org/officeDocument/2006/docPropsVTypes"/>
</file>