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risinājumiem vienotā būves reģistrācijas procesa ieviešanai''"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sadarbībā ar Tieslietu ministriju atbilstoši informatīvajā ziņojumā ietvertajai informācijai </w:t>
      </w:r>
      <w:r w:rsidR="00000000" w:rsidRPr="00000000" w:rsidDel="00000000">
        <w:rPr>
          <w:b w:val="1"/>
          <w:rtl w:val="0"/>
        </w:rPr>
        <w:t xml:space="preserve">līdz 2024. gada 1. jūnijam </w:t>
      </w:r>
      <w:r w:rsidR="00000000" w:rsidRPr="00000000" w:rsidDel="00000000">
        <w:rPr>
          <w:rtl w:val="0"/>
        </w:rPr>
        <w:t xml:space="preserve"> vienoties par savstarpējām datu izmantošanas iespējām, nodrošinot Būvniecības informācijas sistēmas, Nekustamā īpašuma valsts kadastra informācijas sistēmas un Valsts vienotās datorizētās zemesgrāmatas datu apmaiņas efektivizēšanu, </w:t>
      </w:r>
      <w:r w:rsidR="00000000" w:rsidRPr="00000000" w:rsidDel="00000000">
        <w:rPr>
          <w:b w:val="1"/>
          <w:rtl w:val="0"/>
        </w:rPr>
        <w:t xml:space="preserve">nodrošinot maksimāli automatizētu </w:t>
      </w:r>
      <w:r w:rsidR="00000000" w:rsidRPr="00000000" w:rsidDel="00000000">
        <w:rPr>
          <w:rtl w:val="0"/>
        </w:rPr>
        <w:t xml:space="preserve">datu reģistrācijas Nekustamā īpašuma valsts kadastra informācijas sistēmā un Valsts vienotajā datorizētajā zemesgrāmatā prasību pirmspārbaudi, gadījumā, kad zemes īpašnieks uz sev piederošas zemes uzbūvējis dzīvojamo māju, un iesniegt Ministru kabinetā detalizētu informatīvo ziņojumu par būvniecības un kadastra jomas prasībām vienotā būves reģistrācijas procesa ieviešanai attiecībā uz gadījumiem, kad zemes īpašnieks būvē dzīvojamo māju uz savas zemes.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nodrošināt būvniecības normatīvo aktu vienveidīgu piemērošanu būvvalžu darbā.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sadarbībā ar Tieslietu ministriju turpināt darbu pie vienotā būves reģistrācijas procesa ieviešanas attiecībā uz citiem subjektiem un īpašuma formām un nepieciešamības gadījumā izstrādāt normatīvo aktu grozījumus.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ministrijai (Valsts zemes dienestam) piešķirto budžeta līdzekļu ietvaros līdz 2024. gada 1. decembrim izstrādāt</w:t>
      </w:r>
      <w:r w:rsidR="00000000" w:rsidRPr="00000000" w:rsidDel="00000000">
        <w:rPr>
          <w:b w:val="1"/>
          <w:rtl w:val="0"/>
        </w:rPr>
        <w:t xml:space="preserve"> </w:t>
      </w:r>
      <w:r w:rsidR="00000000" w:rsidRPr="00000000" w:rsidDel="00000000">
        <w:rPr>
          <w:rtl w:val="0"/>
        </w:rPr>
        <w:t xml:space="preserve">informatīvu</w:t>
      </w:r>
      <w:r w:rsidR="00000000" w:rsidRPr="00000000" w:rsidDel="00000000">
        <w:rPr>
          <w:b w:val="1"/>
          <w:rtl w:val="0"/>
        </w:rPr>
        <w:t xml:space="preserve"> </w:t>
      </w:r>
      <w:r w:rsidR="00000000" w:rsidRPr="00000000" w:rsidDel="00000000">
        <w:rPr>
          <w:rtl w:val="0"/>
        </w:rPr>
        <w:t xml:space="preserve">rīku, kas ļautu vairākos slāņos savienot Valsts zemes dienesta rīcībā esošos datus un grafisko informāciju, nodrošinot ātru un vienkāršu būvniecības ieceres pārbaudi attiecībā pret zemes vienību.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Tieslietu ministrija sadarbībā ar Ekonomikas ministriju Eiropas Savienības kohēzijas politikas programmas 2021. – 2027. gadam 1.3.1. specifiskā atbalsta mērķa „Izmantot digitalizācijas priekšrocības iedzīvotājiem, uzņēmumiem, pētniecības organizācijām un publiskajām iestādēm” 1.3.1.1. pasākuma „ IKT risinājumu un pakalpojumu attīstība un iespēju radīšana privātajam sektoram” projektu priekšatlases procesa ietvaros ir iesniegusi Vides aizsardzības un reģionālās attīstības ministrijai pieteikumu vienotā būves reģistrācijas procesa ieviešanas iniciatīvai (pārnozaru reformai), kas paredz veikt pielāgojumus Nekustamā īpašuma valsts kadastra informācijas sistēmā ar indikatīvām izmaksām 1 655 000 euro apmērā un pielāgojumus Būvniecības informācijas sistēmā ar indikatīvām izmaksām 1 535 000 euro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23-TA-1954</w:t>
    </w:r>
    <w:r>
      <w:br/>
    </w:r>
    <w:r w:rsidR="00000000" w:rsidRPr="00000000" w:rsidDel="00000000">
      <w:rPr>
        <w:rtl w:val="0"/>
      </w:rPr>
      <w:t xml:space="preserve">Izdrukāts 29.07.2026. 22.17 - 6.0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mk_sēdes_protokollēmuma_projekts_23-TA-1954.docx</dc:title>
</cp:coreProperties>
</file>

<file path=docProps/custom.xml><?xml version="1.0" encoding="utf-8"?>
<Properties xmlns="http://schemas.openxmlformats.org/officeDocument/2006/custom-properties" xmlns:vt="http://schemas.openxmlformats.org/officeDocument/2006/docPropsVTypes"/>
</file>