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februārī (prot. Nr. 5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kas nepārsniedz 724 049  </w:t>
      </w:r>
      <w:r w:rsidR="00000000" w:rsidRPr="00000000" w:rsidDel="00000000">
        <w:rPr>
          <w:i w:val="1"/>
          <w:rtl w:val="0"/>
        </w:rPr>
        <w:t xml:space="preserve">euro, </w:t>
      </w:r>
      <w:r w:rsidR="00000000" w:rsidRPr="00000000" w:rsidDel="00000000">
        <w:rPr>
          <w:rtl w:val="0"/>
        </w:rPr>
        <w:t xml:space="preserve">lai  nodrošinātu Covid-19 saslimšanas gadījumu efektīvu epidemioloģisko pārvaldīšanu, zvanu veikšanai izmantojot ārpakalpojumus laikposmā no 2022. gada 1. februāra līdz 2022. gada 30. jūnijam,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Slimību profilakses un kontroles centram – finansējumu, kas nepārsniedz 489 805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inspekcijai – finansējumu, kas nepārsniedz 234 244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22-TA-206</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22-TA-206</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rīkojuma_projekts_22-TA-206.docx</dc:title>
</cp:coreProperties>
</file>

<file path=docProps/custom.xml><?xml version="1.0" encoding="utf-8"?>
<Properties xmlns="http://schemas.openxmlformats.org/officeDocument/2006/custom-properties" xmlns:vt="http://schemas.openxmlformats.org/officeDocument/2006/docPropsVTypes"/>
</file>