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Noguldījumu garantiju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Noguldījumu garantiju likumā (Latvijas Vēstnesis, 2015, 118. nr.; 2018, 17. nr.; 2021, 110., 193. nr.; 2022, 69.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1. panta otrajā daļā vārdus "un ieguldījumu brokeru sabiedrībām" un vārdus "(Dokuments attiecas uz EEZ)".</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Garantētā atlīdzība par kopīgo noguldījumu tiek izmaksāta katrai kopīgo noguldījumu izdarījušajai personai šā likuma 3. panta pirmajā daļā noteiktajā apmērā. Garantētās atlīdzības apmēru nosaka, ņemot vērā katras kopīgo noguldījumu izdarījušās personas daļu kopīgajā noguldījumā, kas noteikta ar noguldījumu piesaistītāju noslēgtajā līgumā. Ja katras personas daļa kopīgajā noguldījumā nav noteikta, kopīgais noguldījums sadalāms vienlīdzīgās daļās un garantētās atlīdzības apmēru nosaka, ņemot vērā šo noguldījuma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noguldītājs pārvalda citai personai pienākošos līdzekļus noguldījumu piesaistītājā, garantēto atlīdzību ir tiesības saņemt personai, kura var pierādīt savas prasījuma tiesības uz noguldītāja pārvaldītajiem līdzekļiem ar nosacījumu, ka noguldījumu piesaistītājs vai šā panta 2.</w:t>
      </w:r>
      <w:r w:rsidR="00000000" w:rsidRPr="00000000" w:rsidDel="00000000">
        <w:rPr>
          <w:vertAlign w:val="superscript"/>
          <w:rtl w:val="0"/>
        </w:rPr>
        <w:t xml:space="preserve">2</w:t>
      </w:r>
      <w:r w:rsidR="00000000" w:rsidRPr="00000000" w:rsidDel="00000000">
        <w:rPr>
          <w:rtl w:val="0"/>
        </w:rPr>
        <w:t xml:space="preserve"> daļā noteiktajā gadījumā – noguldītājs šo personu ir identificējis vai var identificēt pirms noguldījumu nepieejamības iestāšanās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un 2.</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Noguldījumu piesaistītājam pirms darījumu attiecību uzsākšanas ar noguldītāju ir pienākums noskaidrot, vai noguldītājs nodrošina citai personai pienākošos līdzekļu pārvaldību noguldījumu piesaistītājā.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Noguldījumu piesaistītājs veic nepieciešamās darbības, lai pirms darījumu attiecību uzsākšanas vai darījumu attiecību laikā no noguldītāja, kas nodrošina citai personai pienākošos līdzekļu pārvaldību noguldījumu piesaistītājā, iegūtu apliecinājumu, ka tas nodrošina šo personu identifikāciju un tām pienākošos līdzekļu uzskaiti.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Ja noguldītājs plāno nodrošināt citai personai pienākošos līdzekļu pārvaldību noguldījumu piesaistītājā, noguldītājam ir pienākums nekavējoties par to informēt noguldījumu piesaistītāju, ja šāda informācija jau nav iesniegta noguldījumu piesaistītājam pirms darījumu attiecību uzsākšanas."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6. panta ceturtajā daļā vārdus "mājaslapā internetā" ar vārdu "tīmekļvietnē".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"atļauju (licenci)" ar vārdiem "licenci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 "rādītājus" ar vārdiem "komercdarbības modeļa un risku pārvaldības rādītājus" un vārdus "noguldījumu piesaistītāja komercdarbības plānu un stratēģiju" ­ar vārdiem "var ņemt vērā citus rādītājus, kas noteikti, izmantojot uz risku balstītas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noguldījumu piesaistītāja rīcībā nav informācijas par personām, kuru pienākošos līdzekļus noguldītājs pārvalda noguldījumu piesaistītājā, un informācijas par katrai no šīm personām pienākošos līdzekļu summu, maksājumus noguldījumu garantiju fondā aprēķina, ņemot vērā atlikumu kontā, kurā glabājas līdzekļi, kas pienākas citai personai un ko pārvalda noguldītājs noguldījumu piesaistītājā.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Latvijas Banka, lai nodrošinātu finanšu sektora noturību, ņemot vērā ekonomikas cikla potenciālo negatīvo ietekmi uz finanšu stabilitāti un finanšu sektora attīstību, var lemt par šā panta trešajā daļā minēto ceturkšņa maksājumu palielināšanu noguldījumu garantiju fondā līdz 0,125 procentiem ceturksnī no segto noguldījumu vidējā atlikuma noguldījumu piesaistītājā iepriekšējā ceturksnī, kas reizināts ar Latvijas Bankas noteiktajā kārtībā aprēķināto korekcijas koeficientu, bet šā panta ceturtajā daļā minēto ceturkšņa maksājumu noguldījumu garantiju fondā – līdz 0,125 procentiem ceturksnī no filiāles piesaistīto segto noguldījumu vidējā atlikuma iepriekšējā ceturksnī, par lēmumu paziņojot vismaz trīs mēnešus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15. panta trešajā daļā un 15.</w:t>
      </w:r>
      <w:r w:rsidR="00000000" w:rsidRPr="00000000" w:rsidDel="00000000">
        <w:rPr>
          <w:vertAlign w:val="superscript"/>
          <w:rtl w:val="0"/>
        </w:rPr>
        <w:t xml:space="preserve">1</w:t>
      </w:r>
      <w:r w:rsidR="00000000" w:rsidRPr="00000000" w:rsidDel="00000000">
        <w:rPr>
          <w:rtl w:val="0"/>
        </w:rPr>
        <w:t xml:space="preserve"> pantā vārdu "mājaslapā" ar vārdu "tīmekļvietnē".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nosaukumu pēc vārda "atbilstīgajiem" ar vārdiem "un segtajiem";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Noguldījumu piesaistītājs savos grāmatvedības reģistros atjauno šā panta pirmajā daļā minēto informāciju par šā likuma 23. panta trešajā daļā minētajiem noguldītājiem, ja tas saņēmis informāciju, ka attiecīgais noguldītājs pasludināts par maksātnespējīgu vai tā darbība izbeigta ar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Noguldījumu piesaistītājs uz risku balstītā pieejā, bet ne retāk kā vienu reizi trijos gados veic iekšējā audita pārbaudi par atbilstīgo un segto noguldījumu uzskaiti."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"Noguldītājam nav nepieciešams iesniegt noguldījumu piesaistītājam iesniegumu vai citus dokumentus, kas pamato noguldītāja tiesības uz garantēto atlīdzību, izņemot šā likuma 5. panta otrajā daļā minēto gadījumu, ja noguldītājs pārvalda citai personai pienākošos līdzekļus noguldījumu piesaistītājā.";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Noguldītājam, kas pārvalda citai personai pienākošos līdzekļus noguldījumu piesaistītājā, ir pienākums pēc noguldījumu piesaistītāja noguldījumu nepieejamības iestāšanās iesniegt noguldījumu piesaistītājam vai Latvijas Bankai informāciju, kas nepieciešama šo personu identificēšanai, un par katrai no šīm personām pienākošos līdzekļu summu uz noguldījumu nepieejamības iestāšanās dienu. Latvijas Banka ir tiesīga pieprasīt noguldītājam iesniegt zvērināta revidenta ziņojumu par šajā daļā minētās informācijas pārbaudi."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21.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"labvēlīgāko un ekonomiskāko" ar vārdiem "ekonomiski izdevīgāko";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Latvijas Bankas izdotā administratīvā akta apstrīdēšana un pārsūdzēšana par šā panta ceturtajā daļā minētā aizdevuma pieprasījumu neaptur tā darbību."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6. punktā skaitli un vārdu "62. pantu" ar skaitļiem un vārdiem "51. un 62.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un trešo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Šā panta pirmajā daļā minētajos noguldījumos ir ietverti arī uzkrātie procenti, kas atbilstoši noslēgtā līguma nosacījumiem un termiņiem nav izmaksāti līdz dienai, kad iestājusies noguldījumu nepieejamība.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Izņēmumi garantētās atlīdzības izmaksai nav attiecināmi uz noguldījumu, ko veikusi tāda kredītiestāde, krājaizdevu sabiedrība, apdrošināšanas un pārapdrošināšanas sabiedrība, ieguldījumu brokeru sabiedrība, ieguldījumu pārvaldes sabiedrība, privāto pensiju fonds, alternatīvo ieguldījumu fondu pārvaldnieks un finanšu iestāde, kura pasludināta par maksātnespējīgu vai kuras darbība izbeigta ar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panta tekstu par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25.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pēc vārdiem "izraudzītu kredītiestāžu" ar vārdiem "vai maksājumu iestāžu";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sestajā daļā vārdus "mājaslapā internetā" ar vārdu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6.</w:t>
      </w:r>
      <w:r w:rsidR="00000000" w:rsidRPr="00000000" w:rsidDel="00000000">
        <w:rPr>
          <w:vertAlign w:val="superscript"/>
          <w:rtl w:val="0"/>
        </w:rPr>
        <w:t xml:space="preserve">1</w:t>
      </w:r>
      <w:r w:rsidR="00000000" w:rsidRPr="00000000" w:rsidDel="00000000">
        <w:rPr>
          <w:rtl w:val="0"/>
        </w:rPr>
        <w:t xml:space="preserve"> daļā vārdus "Latvijas Bankas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w:t>
      </w:r>
      <w:r w:rsidR="00000000" w:rsidRPr="00000000" w:rsidDel="00000000">
        <w:rPr>
          <w:vertAlign w:val="superscript"/>
          <w:rtl w:val="0"/>
        </w:rPr>
        <w:t xml:space="preserve">1</w:t>
      </w:r>
      <w:r w:rsidR="00000000" w:rsidRPr="00000000" w:rsidDel="00000000">
        <w:rPr>
          <w:rtl w:val="0"/>
        </w:rPr>
        <w:t xml:space="preserve"> daļu ar teikumu šādā reakcijā: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"Latvijas Banka nosaka informāciju, kuru par garantētās atlīdzības izmaksas pieteikumiem iesniedz Latvijas Bankai, kā arī šādas informācijas apkopošanas un iesniegšanas kārtību un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6.</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Latvijā licencēta maksājumu iestāde vai elektroniskās naudas iestāde, vai dalībvalstī licencētas maksājumu iestādes vai elektroniskās naudas iestādes filiāle, kura veic darbību Latvijā, ir tiesīga nodrošināt saviem klientiem iespēju pieteikt garantētās atlīdzības izmaksu un saņemt garantēto atlīdzību, ja tā var nodrošināt garantētās atlīdzības ieskaitīšanu klienta kontā, izmantojot kredīta pārvedumu atbilstoši Eiropas Parlamenta un Padomes 2012. gada 4. marta regulai (ES) Nr. 260/2012, ar ko nosaka tehniskās un darbības prasības kredīta pārvedumiem un tiešā debeta maksājumiem </w:t>
      </w:r>
      <w:r w:rsidR="00000000" w:rsidRPr="00000000" w:rsidDel="00000000">
        <w:rPr>
          <w:i w:val="1"/>
          <w:rtl w:val="0"/>
        </w:rPr>
        <w:t xml:space="preserve">euro </w:t>
      </w:r>
      <w:r w:rsidR="00000000" w:rsidRPr="00000000" w:rsidDel="00000000">
        <w:rPr>
          <w:rtl w:val="0"/>
        </w:rPr>
        <w:t xml:space="preserve">un groza regulu (EK) Nr. 924/2009, un Latvijas Bankas noteikto prasību par kārtības un termiņa ievērošanu, lai apkopotu un iesniegtu informāciju par garantētās atlīdzības izmaksas pieteikumiem."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Izteikt 28. panta 2.</w:t>
      </w:r>
      <w:r w:rsidR="00000000" w:rsidRPr="00000000" w:rsidDel="00000000">
        <w:rPr>
          <w:vertAlign w:val="superscript"/>
          <w:rtl w:val="0"/>
        </w:rPr>
        <w:t xml:space="preserve">1</w:t>
      </w:r>
      <w:r w:rsidR="00000000" w:rsidRPr="00000000" w:rsidDel="00000000">
        <w:rPr>
          <w:rtl w:val="0"/>
        </w:rPr>
        <w:t xml:space="preserve"> daļas pirmo teikumu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"Noguldījumu piesaistītājs, atsaucoties uz šā panta otrajā daļā minētajā veidlapā iekļauto informāciju, sniedz noguldītājam apstiprinājumu par tā tiesībām uz garantēto atlīdzību, lai informētu, vai noguldījums ir vai nav atbilstīgs noguldījums."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31.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pantā vārdu "sūdzība" (attiecīgā skaitlī un locījumā) ar vārdu "iesniegums" (attiecīgā skaitlī un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vārda "termiņiem" ar vārdiem "vai iesniegumus, kas saistīti ar personas tiesībām saņemt garantēto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izskatot šā panta pirmajā daļā minētos iesniegumus, Latvijas Banka konstatē, ka iesniedzējam sagatavojama atbilde pēc būtības, nevis jāpieņem lēmums, un atbildes sniegšanai nepieciešams veikt papildu darbības informācijas iegūšanai un apstrādei, Latvijas Banka šīs darbības veic četru mēnešu laikā no iesnieguma saņemšanas dienas, viena mēneša laikā no iesnieguma saņemšanas dienas informējot iesniedzēju par iesnieguma saņemšanu un veiktajām darbībām. Ja objektīvu iemeslu dēļ četru mēnešu termiņu nav iespējams ievērot, Latvijas Banka to var pagarināt līdz gadam, par to paziņojot iesniedzējam."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Aizstāt 33. panta trešajā daļā vārdus "mājaslapā internetā" ar vārdu "tīmekļvietnē".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pārejas noteikumus ar 20. un 21. punktu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 Šā likuma 8. panta 4.</w:t>
      </w:r>
      <w:r w:rsidR="00000000" w:rsidRPr="00000000" w:rsidDel="00000000">
        <w:rPr>
          <w:vertAlign w:val="superscript"/>
          <w:rtl w:val="0"/>
        </w:rPr>
        <w:t xml:space="preserve">2</w:t>
      </w:r>
      <w:r w:rsidR="00000000" w:rsidRPr="00000000" w:rsidDel="00000000">
        <w:rPr>
          <w:rtl w:val="0"/>
        </w:rPr>
        <w:t xml:space="preserve"> daļa stājas spēkā 2025. gada 1. janvārī.</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Grozījums šā likuma 28. panta 2.</w:t>
      </w:r>
      <w:r w:rsidR="00000000" w:rsidRPr="00000000" w:rsidDel="00000000">
        <w:rPr>
          <w:vertAlign w:val="superscript"/>
          <w:rtl w:val="0"/>
        </w:rPr>
        <w:t xml:space="preserve">1</w:t>
      </w:r>
      <w:r w:rsidR="00000000" w:rsidRPr="00000000" w:rsidDel="00000000">
        <w:rPr>
          <w:rtl w:val="0"/>
        </w:rPr>
        <w:t xml:space="preserve"> daļā par pirmā teikuma izteikšanu jaunā redakcijā stājas spēkā 2025. gada 1. jūlijā."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23-TA-2559</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23-TA-2559</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likumprojekts_(grozījumi)_23-TA-2559.docx</dc:title>
</cp:coreProperties>
</file>

<file path=docProps/custom.xml><?xml version="1.0" encoding="utf-8"?>
<Properties xmlns="http://schemas.openxmlformats.org/officeDocument/2006/custom-properties" xmlns:vt="http://schemas.openxmlformats.org/officeDocument/2006/docPropsVTypes"/>
</file>