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oktobrī (prot. Nr. 53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2022. gadā no Kultūras ministrijas budžeta apakšprogrammas 25.02.00 "Valsts kultūrkapitāla fonda programmu un projektu konkursi", samazinot dotāciju no vispārējiem ieņēmumiem un subsīdiju un dotāciju izdevumus 43 944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uz budžeta apakšprogrammu 25.01.00 "Valsts kultūrkapitāla fonda darbības nodrošināšana", palielinot vispārējā kārtībā sadalāmo dotāciju no vispārējiem ieņēmumiem par 43 944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izdevumus atlīdzībai par 3 593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izdevumus precēm un pakalpojumiem par 40 351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informāciju tehnoloģiju un Valsts kultūrkapitāla fonda projektu pieteikumu sistēmas uzturēšanu un uzlabojumu veikšanu, informētu sabiedrību par organizētajiem konkursiem un nodrošinātu Radošo personu atbalsta pasākumu programmas īstenošanu. 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 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pārdali atbilstoši šā rīkojumam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22-TA-2755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22-TA-2755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