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(Latvijas Vēstnesis, 2023, 136. nr.; 2024,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šo noteikumu 4.1. apakšpunktā minētās aktivitātes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Latvijas Republikas komercreģistrā reģistrēti komersanti, kas atbilst sīkā (mikro), mazā vai vidējā saimnieciskās darbības subjekta statusam saskaņā ar Eiropas Komisijas 2014. gada 17. jūnija Regulas (ES) Nr. 651/2014, ar ko noteiktas atbalsta kategorijas atzīst par saderīgām ar iekšējo tirgu, piemērojot Līguma 107. un 108. pantu (turpmāk – regula Nr. 651/2014), 2. panta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pašnodarbināta persona un fiziska persona – biznesa idejas autors, biznesa līderis, mācību uzņēmuma dibinātājs, jaunuzņēmuma dibinātājs – vai fizisko personu grupa – komanda, kas īsteno biznesa ideju;".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Pasākuma ietvaros plānotais kopējais attiecināmais finansējums ir 85 249 026 </w:t>
      </w:r>
      <w:r w:rsidR="00000000" w:rsidRPr="00000000" w:rsidDel="00000000">
        <w:rPr>
          <w:i w:val="1"/>
          <w:rtl w:val="0"/>
        </w:rPr>
        <w:t xml:space="preserve">euro</w:t>
      </w:r>
      <w:r w:rsidR="00000000" w:rsidRPr="00000000" w:rsidDel="00000000">
        <w:rPr>
          <w:rtl w:val="0"/>
        </w:rPr>
        <w:t xml:space="preserve"> (elastības finansējums – 16 594 351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72 461 672 </w:t>
      </w:r>
      <w:r w:rsidR="00000000" w:rsidRPr="00000000" w:rsidDel="00000000">
        <w:rPr>
          <w:i w:val="1"/>
          <w:rtl w:val="0"/>
        </w:rPr>
        <w:t xml:space="preserve">euro </w:t>
      </w:r>
      <w:r w:rsidR="00000000" w:rsidRPr="00000000" w:rsidDel="00000000">
        <w:rPr>
          <w:rtl w:val="0"/>
        </w:rPr>
        <w:t xml:space="preserve">(elastības finansējums – 14 105 199 </w:t>
      </w:r>
      <w:r w:rsidR="00000000" w:rsidRPr="00000000" w:rsidDel="00000000">
        <w:rPr>
          <w:i w:val="1"/>
          <w:rtl w:val="0"/>
        </w:rPr>
        <w:t xml:space="preserve">euro</w:t>
      </w:r>
      <w:r w:rsidR="00000000" w:rsidRPr="00000000" w:rsidDel="00000000">
        <w:rPr>
          <w:rtl w:val="0"/>
        </w:rPr>
        <w:t xml:space="preserve">) un valsts budžeta finansējums – 12 787 354</w:t>
      </w:r>
      <w:r w:rsidR="00000000" w:rsidRPr="00000000" w:rsidDel="00000000">
        <w:rPr>
          <w:i w:val="1"/>
          <w:rtl w:val="0"/>
        </w:rPr>
        <w:t xml:space="preserve"> euro</w:t>
      </w:r>
      <w:r w:rsidR="00000000" w:rsidRPr="00000000" w:rsidDel="00000000">
        <w:rPr>
          <w:rtl w:val="0"/>
        </w:rPr>
        <w:t xml:space="preserve"> (elastības finansējums – 2 489 152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procentus no projekta kopējā attiecināmā finansējuma. Projektu iesniegumos pasākuma īstenošanai kopējo pasākumam pieejamo finansējumu plāno ne vairāk kā 68 654 675 </w:t>
      </w:r>
      <w:r w:rsidR="00000000" w:rsidRPr="00000000" w:rsidDel="00000000">
        <w:rPr>
          <w:i w:val="1"/>
          <w:rtl w:val="0"/>
        </w:rPr>
        <w:t xml:space="preserve">euro </w:t>
      </w:r>
      <w:r w:rsidR="00000000" w:rsidRPr="00000000" w:rsidDel="00000000">
        <w:rPr>
          <w:rtl w:val="0"/>
        </w:rPr>
        <w:t xml:space="preserve">apmērā, tai skaitā ERAF finansējumu – 58 356 473 </w:t>
      </w:r>
      <w:r w:rsidR="00000000" w:rsidRPr="00000000" w:rsidDel="00000000">
        <w:rPr>
          <w:i w:val="1"/>
          <w:rtl w:val="0"/>
        </w:rPr>
        <w:t xml:space="preserve">euro </w:t>
      </w:r>
      <w:r w:rsidR="00000000" w:rsidRPr="00000000" w:rsidDel="00000000">
        <w:rPr>
          <w:rtl w:val="0"/>
        </w:rPr>
        <w:t xml:space="preserve">apmērā, valsts budžeta finansējumu – 10 298 202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ar grantiem atbalstītie uzņēmumi – 343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nefinansiālu atbalstu saņēmušie uzņēmumi – 473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Finansējuma saņēmējs vismaz vienu reizi gadā kopā ar maksājuma pieprasījumu vadības informācijas sistēmā par katru gala labuma guvēju vai pēc atbildīgās iestādes pieprasījuma 10 darbdienu laikā iesniedz atbildīgajai iestādei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 atbalstu saņēmušo gala labuma guvēju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atbalstu saņēmušo gala labuma guvēju samaksāto nodokļu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 atbalstu saņēmušo gala labuma guvēju līdzfinansējuma avots un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69.4. atbalstu saņēmušo komersantu eksporta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69.5. piesaistīto ārvalstu dalībnieku skaits atbalstītajos pasākumos (starptautiskās konferences);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69.6. atbalstu saņēmušo gala labuma guvēju piesaistīto investīciju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69.7. sadarbība un tās rezultāti atbilstoši šo noteikumu 17.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 katrā no RIS3 jomām sadalījumā pa gala labuma guvēju veidiem šādus RIS3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 pētniecības un attīstības izdevumu apmērs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69.8.2. kapitālizdevumi – iekārtas, intelektuālā īpašuma tiesības, datoru programmatūra (pētniecības un attīstības izdevumu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69.8.3. pētniecības un attīstības izdevumu apmērs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69.8.4. rūpnieciskie pētījumi (pētniecības un attīstības izdevumu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69.8.5. rūpnieciski ekonomiskā priekšizpēte (pētniecības un attīstības izdevumu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69.8.6. darbaspēka izmaksas (pētniecības un attīstības izdevumu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69.8.7. jaunradītās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69.8.8. jaunradītie produkti (preces un pakalpojumi, kas nav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69.8.9. atbalstīto komersantu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69.8.10. radītie rūpnieciskā īpašuma objekti – patents un patentu pieteikumi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69.8.11. radītie rūpnieciskā īpašuma objekti – reģistrēts dizainparaugs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69.8.12. radītie rūpnieciskā īpašuma objekti – pusvadītāja izstrādājums vai tā pieteikums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69.8.13. radītie rūpnieciskā īpašuma objekti – preču zīme (ieskaitot kolektīvās zīmes) un sertifikācijas zīme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69.8.14. radītie rūpnieciskā īpašuma objekti - licence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69.8.15. fundamentālie pētījumi (pētniecības un attīstības izdevumu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šo noteikumu 2.2.1.1. apakšpunktā minētajiem gala labuma guvējiem – šo noteikumu 18.6. apakšpunktā un 37. 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šo noteikumu 2.2.1.2. apakšpunktā minētajiem gala labuma guvējiem – šo noteikumu 18.6., 37.3. un 37.4.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Finansējuma saņēmējs pirms </w:t>
      </w:r>
      <w:r w:rsidR="00000000" w:rsidRPr="00000000" w:rsidDel="00000000">
        <w:rPr>
          <w:i w:val="1"/>
          <w:rtl w:val="0"/>
        </w:rPr>
        <w:t xml:space="preserve">de minimis</w:t>
      </w:r>
      <w:r w:rsidR="00000000" w:rsidRPr="00000000" w:rsidDel="00000000">
        <w:rPr>
          <w:rtl w:val="0"/>
        </w:rPr>
        <w:t xml:space="preserve"> atbalsta piešķiršanas gala labuma guvējam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Gala labuma guvējs piešķirto de minimis atbalstu var apvienot ar citu de minimis atbalstu, tai skaitā, par vienām un tām pašām attiecināmajām izmaksām līdz Komisijas regulas Nr. 2023/2831 3. panta 2. punktā noteiktajam attiecīgajam robežlielumam, ja pēc atbalstu apvienošanas atbalsta vienībai vai izmaksu pozīcijai attiecīgā maksimālā atbalsta intensitāte nepārsniedz 100 procentus."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Finansējuma saņēmējs lēmumu par </w:t>
      </w:r>
      <w:r w:rsidR="00000000" w:rsidRPr="00000000" w:rsidDel="00000000">
        <w:rPr>
          <w:i w:val="1"/>
          <w:rtl w:val="0"/>
        </w:rPr>
        <w:t xml:space="preserve">de minimis</w:t>
      </w:r>
      <w:r w:rsidR="00000000" w:rsidRPr="00000000" w:rsidDel="00000000">
        <w:rPr>
          <w:rtl w:val="0"/>
        </w:rPr>
        <w:t xml:space="preserve"> atbalsta piešķiršanu var pieņemt līdz 2030. gada 31. decembrim, ievērojot Komisijas regulas Nr. 2023/2831 7. panta 3. punktā un 8. pantā noteikto darbības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Ja tiek pārkāpti Komisijas regulas Nr. 2023/2831 nosacījumi, gala labuma guvējam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De minimis atbalstu saskaņā ar Komisijas regulu Nr.2023/2831 piešķir, ievērojot Komisijas regulas Nr.2023/2831 1.panta 1.punktā minētos nozaru un darbību ierobežojumus, kā arī finansējuma saņēmējs nepiešķir gala labuma guvējam de minimis atbalstu, ja tas darbojas kādā no Eiropas Parlamenta un Padomes 2021. gada 24. jūnija Regulas (ES) Nr. 2021/1058 par Eiropas Reģionālās attīstības fondu un Kohēzijas fondu 7. panta 1. punktā noteiktajām neatbalstāmajām nozarēm un šo noteikumu 2. pielikumā noteiktajām neatbalstāmajām nozarēm un darbībām."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24-TA-1191</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24-TA-1191</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noteikumu_(grozījumu)_projekts_24-TA-1191.docx</dc:title>
</cp:coreProperties>
</file>

<file path=docProps/custom.xml><?xml version="1.0" encoding="utf-8"?>
<Properties xmlns="http://schemas.openxmlformats.org/officeDocument/2006/custom-properties" xmlns:vt="http://schemas.openxmlformats.org/officeDocument/2006/docPropsVTypes"/>
</file>