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jūlijā (prot. Nr. 29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īstenošanas noteikumi" (Latvijas Vēstnesis, 2023, 163. nr.; 2024, 66. nr.; 2025, 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pirmo un piekto kārtu un 4.1.1.5. pasākumu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prasības Eiropas Reģionālās attīstības fonda projekta (turpmāk – projekts) iesniedzējam, finansējuma saņēmējam un sadarbības partnerim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4.1.1.1. pasākuma pirmās kārtas ietvaros plānotais un pieejamais kopējais finansējums ir 114 061 260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96 952 070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17 109 190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4.1.1.1. pasākuma piektās kārtas ietvaros plānotais un pieejamais kopējais finansējums ir 133 543 211 </w:t>
      </w:r>
      <w:r w:rsidR="00000000" w:rsidRPr="00000000" w:rsidDel="00000000">
        <w:rPr>
          <w:i w:val="1"/>
          <w:rtl w:val="0"/>
        </w:rPr>
        <w:t xml:space="preserve">euro</w:t>
      </w:r>
      <w:r w:rsidR="00000000" w:rsidRPr="00000000" w:rsidDel="00000000">
        <w:rPr>
          <w:rtl w:val="0"/>
        </w:rPr>
        <w:t xml:space="preserve"> (no tā elastības finansējums – 46 682 293</w:t>
      </w:r>
      <w:r w:rsidR="00000000" w:rsidRPr="00000000" w:rsidDel="00000000">
        <w:rPr>
          <w:i w:val="1"/>
          <w:rtl w:val="0"/>
        </w:rPr>
        <w:t xml:space="preserve"> euro</w:t>
      </w:r>
      <w:r w:rsidR="00000000" w:rsidRPr="00000000" w:rsidDel="00000000">
        <w:rPr>
          <w:rtl w:val="0"/>
        </w:rPr>
        <w:t xml:space="preserve">), tai skaitā Eiropas Reģionālās attīstības fonda finansējums ir 113 511 729 </w:t>
      </w:r>
      <w:r w:rsidR="00000000" w:rsidRPr="00000000" w:rsidDel="00000000">
        <w:rPr>
          <w:i w:val="1"/>
          <w:rtl w:val="0"/>
        </w:rPr>
        <w:t xml:space="preserve">euro</w:t>
      </w:r>
      <w:r w:rsidR="00000000" w:rsidRPr="00000000" w:rsidDel="00000000">
        <w:rPr>
          <w:rtl w:val="0"/>
        </w:rPr>
        <w:t xml:space="preserve"> (no tā elastības finansējums – 39 679 949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20 031 482 </w:t>
      </w:r>
      <w:r w:rsidR="00000000" w:rsidRPr="00000000" w:rsidDel="00000000">
        <w:rPr>
          <w:i w:val="1"/>
          <w:rtl w:val="0"/>
        </w:rPr>
        <w:t xml:space="preserve">euro</w:t>
      </w:r>
      <w:r w:rsidR="00000000" w:rsidRPr="00000000" w:rsidDel="00000000">
        <w:rPr>
          <w:rtl w:val="0"/>
        </w:rPr>
        <w:t xml:space="preserve"> (no tā elastības finansējums – 7 002 344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12.</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4.1.1.1. pasākuma pirmās un piektās kārtas finansējuma saņēmējiem, izņemot šo noteikumu 23. punktā minēto gadījumu, komercdarbības atbalstu piešķir atbilstoši šīs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4.1.1.1. pasākuma pirmās kārtas ietvaros – diena, kad sadarbības iestāde sniedz lēmumu par projekta apstiprināšanu vai atzinumu par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Prasības projekta iesniedzējam, sadarbības partnerim un projekta 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Šo noteikumu pielikuma 2.2. ailē minētais finansējuma saņēmējs, slēdzot rakstisku sadarbības līgumu, sadarbības partnera statusā var piesaistīt valsts sabiedrību ar ierobežotu atbildību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Finansējuma saņēmējs atbilstoši normatīvajiem aktiem par kārtību, kādā Eiropas Savienības fondu vadībā iesaistītās institūcijas nodrošina šo fondu ieviešanu 2021.–2027. gada plānošanas periodā, slēdz sadarbības līgumus ar sadarbības partneriem, kontrolē to izpildi un novērš dubultā finansējuma riskus. Sadarbības līgumā iekļauj vismaz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 sadarbības partnera īstenojamās atbalstāmās darbības un to apjoms;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 pārskatu un citas informācijas iesniegšanas kārtība un termiņi."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Finansējuma saņēmējs un sadarbības partneri (ja attiecināms), iesaistoties projekta īstenošanā, nodrošina, lai funkcijas, kuras tie pilda projekta īstenošanā, tiktu nodalītas no pamatfunkciju izpildes un saimnieciskās darbības, kā arī nodrošina atsevišķu ieņēmumu un izdevumu grāmatvedības uzskaiti, darbību un ar to īstenošanu saistīto finanšu plūsmu nodalīšanu."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Sadarbības partneris, izņemot šo noteikumu 29.</w:t>
      </w:r>
      <w:r w:rsidR="00000000" w:rsidRPr="00000000" w:rsidDel="00000000">
        <w:rPr>
          <w:vertAlign w:val="superscript"/>
          <w:rtl w:val="0"/>
        </w:rPr>
        <w:t xml:space="preserve">1</w:t>
      </w:r>
      <w:r w:rsidR="00000000" w:rsidRPr="00000000" w:rsidDel="00000000">
        <w:rPr>
          <w:rtl w:val="0"/>
        </w:rPr>
        <w:t xml:space="preserve"> minēto sadarbības partneri, iesaistās projekta īstenošanā ar saviem resursiem, tai skaitā ar tā īpašumā, valdījumā, turējumā vai lietojumā esošo nekustamo īpašumu (tiesību prasība ir nostiprināta zemesgrāmatā), kā arī iesniedz pārskatus un citu informāciju atbilstoši sadarbības līgumā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Projekta iesniedzējs kopā ar sadarbības partneri (ja attiecināms) sagatavo projekta iesniegumu atbilstoši projektu iesniegumu atlases nolikumā noteiktajām prasībām un iesniedz to sadarbības iestādē, izmantojot Kohēzijas politikas fondu vadības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32.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Finansējuma saņēmējs infrastruktūras izmantošanas proporcijas aprēķinu veic: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iesniedzot projekta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sagatavojot noslēguma maksājuma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Finansējuma saņēmējs, iesniedzot noslēguma maksājuma pieprasījumu, nodrošina, ka saskaņā ar šo noteikumu 44.1. apakšpunktu aprēķinātais projekta kopējais publisko izmaksu maksimālais apmērs atbilst piešķirtajam kopējam publisko izmaksu maksimālajam apmēram, attiecīgi palielinot šo noteikumu 12. un 12.</w:t>
      </w:r>
      <w:r w:rsidR="00000000" w:rsidRPr="00000000" w:rsidDel="00000000">
        <w:rPr>
          <w:vertAlign w:val="superscript"/>
          <w:rtl w:val="0"/>
        </w:rPr>
        <w:t xml:space="preserve">1</w:t>
      </w:r>
      <w:r w:rsidR="00000000" w:rsidRPr="00000000" w:rsidDel="00000000">
        <w:rPr>
          <w:rtl w:val="0"/>
        </w:rPr>
        <w:t xml:space="preserve"> punktā minēto nacionālo privāto finansējumu. Ja faktiskā infrastruktūras izmantošanas proporcija projekta īstenošanas laikā ir mainījusies, finansējuma saņēmējs nodrošina atbilstošu šo noteikumu 12. un 12.</w:t>
      </w:r>
      <w:r w:rsidR="00000000" w:rsidRPr="00000000" w:rsidDel="00000000">
        <w:rPr>
          <w:vertAlign w:val="superscript"/>
          <w:rtl w:val="0"/>
        </w:rPr>
        <w:t xml:space="preserve">1</w:t>
      </w:r>
      <w:r w:rsidR="00000000" w:rsidRPr="00000000" w:rsidDel="00000000">
        <w:rPr>
          <w:rtl w:val="0"/>
        </w:rPr>
        <w:t xml:space="preserve"> punktā minēto nacionālā privātā finansējuma palielinājumu, nepalielinot šo noteikumu 12. un 12.</w:t>
      </w:r>
      <w:r w:rsidR="00000000" w:rsidRPr="00000000" w:rsidDel="00000000">
        <w:rPr>
          <w:vertAlign w:val="superscript"/>
          <w:rtl w:val="0"/>
        </w:rPr>
        <w:t xml:space="preserve">1</w:t>
      </w:r>
      <w:r w:rsidR="00000000" w:rsidRPr="00000000" w:rsidDel="00000000">
        <w:rPr>
          <w:rtl w:val="0"/>
        </w:rPr>
        <w:t xml:space="preserve"> punktā minētās kopējās publiskās projekta attiecināmās izmaksas, un par to informē sadarbības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Īstenojot projektu, finansējuma saņēmējs un sadarbības partneris: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nodrošina šo noteikumu 33.4. apakšpunktā minētos komunikācijas un vizuālās identitātes prasību nodrošināšanas pasākumus saskaņā ar Regulas Nr. 2021/1060 47. un 50. pantu un normatīvajiem aktiem par kārtību, kādā Eiropas Savienības struktūrfondu un Kohēzijas fonda ieviešanā 2021.–2027. gada plānošanas periodā nodrošināma komunikācijas un vizuālās identitātes prasību ievērošana;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nodrošina horizontālā principa "Vienlīdzība, iekļaušana, nediskriminācija un pamattiesību ievērošana" īstenošanu un uzkrāj datus par šādiem rādītājiem (šis nosacījums neattiecas uz 4.1.1.1. pasākuma piektās kārtas finansējuma saņēmējiem):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50.2.1. objektu skaits, kuros Eiropas Reģionālās attīstības fonda ieguldījumu rezultātā ir nodrošināta vides un informācijas pieejamība. Finansējuma saņēmējam ir pienākums sniegt minēto informāciju, iesniedzot noslēguma maksājuma pieprasījumu par visu projekta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50.2.2. veikto vides un informācijas piekļūstamības pašnovērtējumu skaits. Finansējuma saņēmējam ir pienākums sniegt minēto informāciju, iesniedzot pēdējo maksājuma pieprasījumu par visu projekta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ja projekta izmaksas pieaug, projekta sadārdzinājumu sedz no saviem līdzekļiem, nodrošinot piemērojamo komercdarbības atbalsta regulējuma normu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50.4. 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 uzkrāj datus par projekta ietekmi uz šajos noteikumos minētajiem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50.5.1. 4.1.1.1. pasākuma pirmās kārtas ietvaros – par faktiski sasniegto šo noteikumu 10. punktā minēto rādītāju;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50.5.2. 4.1.1.1. pasākuma piektās kārtas ietvaros – par faktiski sasniegtajiem šo noteikumu 8.2. apakšpunktā minētajiem iznākuma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50.5.3. 4.1.1.5. pasākuma ietvaros – par faktiski sasniegto šo noteikumu 11. punktā minēto rādītāju;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50.6. nodrošina sasniegto rezultātu ilgtspēju vismaz piecus gadus pēc projekta pabeigšanas;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 atbilstoši Regulas Nr. 2021/1060 9. panta 4. punktam un Eiropas Parlamenta un Padomes 2020. gada 18. jūnija Regulas (ES) 2020/852 par regulējuma izveidi ilgtspējīgu ieguldījumu veicināšanai un ar kuru groza Regulu (ES) 2019/2088, 17. pantam nodrošina, ka tiek ievēroti šādi principa "Nenodarīt būtisku kaitējumu" vides mērķi (šis nosacījums neattiecas uz 4.1.1.1. pasākuma piektās kārtas finansējuma saņēmējiem):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50.7.1. klimata pārmaiņu mazināšana;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50.7.2. pielāgošanās klimata pārmaiņām;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50.7.3. ilgtspējīga ūdens un jūras resursu izmantošana un aizsardzība;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50.7.4. pāreja uz aprites ekonomiku, ieskaitot atkritumu rašanās novēršanu un to reciklēšanu;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50.7.5. piesārņojuma novēršana un kontrole;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50.7.6. bioloģiskās daudzveidības un ekosistēmu aizsardzība un atjaunošana;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50.8. 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50.9. nodrošina, ka iepirkumus, kuri nepieciešami atbalstāmo darbību īstenošanai, finansējuma saņēmējs vai sadarbības partneris veic atklātā, pārredzamā, nediskriminējošā un konkurenci nodrošinošā, sociāli atbildīgā veidā, kā arī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50.10. izveido iekšējās kontroles sistēmu korupcijas un interešu konflikta riska novēršanai publiskas personas institūcijā atbilstoši normatīvajam regulējumam par iekšējās kontroles sistēmas pamatprasībām korupcijas un interešu konflikta riska novēršanai publiskas personas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56.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ministra pienākumu izpildītājs ‒ 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25-TA-1360</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25-TA-1360</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noteikumu_(grozījumu)_projekts_25-TA-1360.docx</dc:title>
</cp:coreProperties>
</file>

<file path=docProps/custom.xml><?xml version="1.0" encoding="utf-8"?>
<Properties xmlns="http://schemas.openxmlformats.org/officeDocument/2006/custom-properties" xmlns:vt="http://schemas.openxmlformats.org/officeDocument/2006/docPropsVTypes"/>
</file>