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projekts, iestājoties Eiropas Savienības Vispārējās tiesas lietā T-629/25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nostājas projektu, iestājoties Eiropas Savienības Vispārējās tiesas lietā T-629/25 </w:t>
      </w:r>
      <w:r w:rsidR="00000000" w:rsidRPr="00000000" w:rsidDel="00000000">
        <w:rPr>
          <w:i w:val="1"/>
          <w:rtl w:val="0"/>
        </w:rPr>
        <w:t xml:space="preserve">WO Trading/Parlaments un Padome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un Ārlietu ministrijai sniegt nepieciešamo atbalstu Tieslietu ministrijai Eiropas Savienības Vispārējās tiesas lietā T-629/25 </w:t>
      </w:r>
      <w:r w:rsidR="00000000" w:rsidRPr="00000000" w:rsidDel="00000000">
        <w:rPr>
          <w:i w:val="1"/>
          <w:rtl w:val="0"/>
        </w:rPr>
        <w:t xml:space="preserve">WO Trading/Parlaments un Padome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26-TA-2007</w:t>
    </w:r>
    <w:r>
      <w:br/>
    </w:r>
    <w:r w:rsidR="00000000" w:rsidRPr="00000000" w:rsidDel="00000000">
      <w:rPr>
        <w:rtl w:val="0"/>
      </w:rPr>
      <w:t xml:space="preserve">Izdrukāts 19.08.2026. 13.22 - 1.0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