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piesārņojumu</w:t>
      </w:r>
      <w:r w:rsidR="00000000" w:rsidRPr="00000000" w:rsidDel="00000000">
        <w:rPr>
          <w:rStyle w:val="paragraph"/>
          <w:i w:val="1"/>
          <w:rtl w:val="0"/>
        </w:rPr>
        <w:t xml:space="preserve">"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11.panta otrās daļas 3. un 12. punktu un 18.panta otrās daļas 2.punktu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23. decembra noteikumos Nr. 834 "Prasības ūdens, augsnes un gaisa aizsardzībai no lauksaimnieciskās darbības izraisīta piesārņojuma" (Latvijas Vēstnesis, 2015, 3. nr.; 2018, 201. nr.; 2021, 155. nr.; 2023, 90. nr.; 2024, 163.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"3.5. slāpekļa minerālmēslus pamatmēslojumā lieto iespējami īsā laikā pirms sējas vai stādīšanas. Izkliedējot karbamīdu (urīnvielu), to iestrādā augsnē."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"11.1. uzrauga un kontrolē šo noteikumu 3.1., 3.3.2., 3.3.3., 3.3.4., 3.3.5., 3.3.6., 3.3.7., 3.4., 3.5. un 3.6. apakšpunktā un 6. punktā minēto prasību izpildi;".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13.4.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13.5.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24-TA-2131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24-TA-2131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