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Žurnālistu un citu mediju profesionāļu drošības plāns 2025.–2027.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Žurnālistu un citu mediju profesionāļu drošības plānu 2025.-2027. gadam (turpmāk – plāns).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par atbildīgo institūciju plāna īstenošanā, bet par līdzatbildīgajām institūcijām – Iekšlietu ministriju un Tieslietu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institūcijai un līdzatbildīgajām institūcijām plānā paredzēto pasākumu īstenošanu 2025. gadā nodrošināt atbilstoši piešķirtajiem valsts budžeta līdzekļiem. Jautājumu par papildu valsts budžeta līdzekļu piešķiršanu plānā paredzēto pasākumu īstenošanai 2026. gadā un turpmākajos gados izskatīt likumprojekta "Par valsts budžetu 2026. gadam un budžeta ietvaru 2026., 2027. un 2028.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iesaistītajām institūcijām piešķirto valsts budžeta līdzekļu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sagatavot un kultūras ministram līdz 2028. gada 29. septembrim iesniegt noteiktā kārtībā Ministru kabinetā plāna ietekmes izvērtējumu.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25-TA-1171</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25-TA-1171</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rīkojuma_projekts_25-TA-1171.docx</dc:title>
</cp:coreProperties>
</file>

<file path=docProps/custom.xml><?xml version="1.0" encoding="utf-8"?>
<Properties xmlns="http://schemas.openxmlformats.org/officeDocument/2006/custom-properties" xmlns:vt="http://schemas.openxmlformats.org/officeDocument/2006/docPropsVTypes"/>
</file>