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58 380 000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30 580 000 </w:t>
      </w:r>
      <w:r w:rsidR="00000000" w:rsidRPr="00000000" w:rsidDel="00000000">
        <w:rPr>
          <w:i w:val="1"/>
          <w:rtl w:val="0"/>
        </w:rPr>
        <w:t xml:space="preserve">euro</w:t>
      </w:r>
      <w:r w:rsidR="00000000" w:rsidRPr="00000000" w:rsidDel="00000000">
        <w:rPr>
          <w:rtl w:val="0"/>
        </w:rPr>
        <w:t xml:space="preserve"> un atmaksātais publiskais finansējums 27 800 000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11 588 000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2.2.1.4.2. apakšaktivitātē "Mezanīna aizdevumi un nodrošinājuma garantijas saimnieciskās darbības veicēju konkurētspējas uzlabošanai" gūto atmaksu publiskā finansējuma daļa 4 555 000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w:t>
      </w:r>
      <w:r w:rsidR="00000000" w:rsidRPr="00000000" w:rsidDel="00000000">
        <w:rPr>
          <w:rtl w:val="0"/>
        </w:rPr>
        <w:t xml:space="preserve"> 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15. punktā minētajiem nosacījumiem un ievērojot Komisijas regulas Nr.  </w:t>
      </w:r>
      <w:r w:rsidR="00000000" w:rsidRPr="00000000" w:rsidDel="00000000">
        <w:rPr>
          <w:rtl w:val="0"/>
        </w:rPr>
        <w:t xml:space="preserve">651/2014</w:t>
      </w:r>
      <w:r w:rsidR="00000000" w:rsidRPr="00000000" w:rsidDel="00000000">
        <w:rPr>
          <w:rtl w:val="0"/>
        </w:rPr>
        <w:t xml:space="preserve"> 21. panta 14. punkta "a" un "b" apakšpunktā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 paredzot finanšu starpniekam.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6.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14. punkta "c" un "d" apakšpunktā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5. 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un 21. panta 16.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Kopējais privāto ieguldītāju līdzfinansējuma apmērs sēklas kapitāla, sākuma kapitāla un izaugsmes kapitāla ieguldījuma līmenī saimnieciskās darbības veicējā saskaņā ar Komisijas regulas Nr.  </w:t>
      </w:r>
      <w:r w:rsidR="00000000" w:rsidRPr="00000000" w:rsidDel="00000000">
        <w:rPr>
          <w:rtl w:val="0"/>
        </w:rPr>
        <w:t xml:space="preserve">651/2014</w:t>
      </w:r>
      <w:r w:rsidR="00000000" w:rsidRPr="00000000" w:rsidDel="00000000">
        <w:rPr>
          <w:rtl w:val="0"/>
        </w:rPr>
        <w:t xml:space="preserve"> 21. panta 10. punkta nosacījumiem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ja finanšu starpnieks sēklas kapitālu, sākuma kapitālu vai izaugsmes kapitālu iegulda saimnieciskās darbības veicējā, kas uz brīdi, kad tiek pieņemts lēmums par ieguldījumu, nav veicis pirmo komerciālās pārdošanas darījumu jebkurā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ja finanšu starpnieks sēklas kapitālu, sākuma kapitālu vai izaugsmes kapitālu iegulda saimnieciskās darbības veicējā, kas ir darbojies kādā tirgū ne ilgāk kā septiņus gadus kopš tā pirmā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 ja finanšu starpnieks sēklas kapitālu, sākuma kapitālu vai izaugsmes kapitālu iegulda saimnieciskās darbības veicējā, kas ir darbojies kādā tirgū ilgāk nekā septiņus gadus kopš tā pirmā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 vienlaikus pastāvot nosacījumam, ka sēklas kapitāla, sākuma kapitāla vai izaugsmes kapitāla ieguldījums ir nepieciešams, lai saimnieciskās darbības veicējs ieietu jaunā produktu vai ģeogrāfiskā tirgū, un tas pārsniedz 50 % no pēdējo piecu gadu vidējā saimnieciskās darbības veicēja apgrozījuma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finanšu starpnieki saimnieciskās darbības veicējiem atbilstoši šiem noteikumiem sniedz līdz sēklas kapitāla, sākuma kapitāla vai izaugsmes kapitāla fonda darbības beigām, kas ir 10 gadi kopš komandītsabiedrības līguma noslēgšanas brīža.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 un grupa 46.90 "Nespecializētā vairumtirdzniecība");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 redakcijas 64.1. apakšnodaļa "Monetārā starpniecība" un NACE 2. redakcijas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sniedz sākuma kapitāla ieguldījumu, kura apmērs nepārsniedz 15 %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9. punktā noteiktais ieguldījuma apmēra ierobežojums.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sniedz izaugsmes kapitāla ieguldījumu, kura apmērs nepārsniedz 15 %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9. punktā noteiktais ieguldījuma apmēra ierobežojums.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9.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44.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21-TA-1647</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21-TA-1647</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noteikumu_konsolidētā_versija_21-TA-1647.docx</dc:title>
</cp:coreProperties>
</file>

<file path=docProps/custom.xml><?xml version="1.0" encoding="utf-8"?>
<Properties xmlns="http://schemas.openxmlformats.org/officeDocument/2006/custom-properties" xmlns:vt="http://schemas.openxmlformats.org/officeDocument/2006/docPropsVTypes"/>
</file>