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1.2.2. specifiskā atbalsta mērķa “Izmantot digitalizācijas priekšrocības uzņēmējdarbības attīstībai” 1.2.2.1. pasākuma “Atbalsts procesu digitalizācijai komercdarbībā”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1.2.2. specifiskā atbalsta mērķa “Izmantot digitalizācijas priekšrocības uzņēmējdarbības attīstībai” 1.2.2.1. pasākumu “Atbalsts procesu digitalizācijai komercdarbībā”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 sīkais (mikro), mazais, vidējais komersants (tai skaitā juridiskas personas ārvalstu filiāle, zemnieku saimniecība, kooperatīvā sabiedrība), kas atbilst sīkā (mikro), mazā vai vidējā saimnieciskās darbības subjekta statusam saskaņā ar Eiropas Komisijas 2014. gada 17. jūnija Regulas (ES) Nr. 651/2014, ar ko noteiktas atbalsta kategorijas atzīst par saderīgām ar iekšējo tirgu, piemērojot Līguma 107. un 108. pantu, 2. panta 2. punktu un mazas vidējas kapitalizācijas sabiedrības saskaņā ar Eiropas Parlamenta un Padomes 2015. gada 25. jūnija Regulas (ES) Nr. 2015/1017 par Eiropas Stratēģisko investīciju fondu, Eiropas Investīciju konsultāciju centru un Eiropas Investīciju projektu portālu, ar ko groza Regulas (ES) Nr. 1291/2013 un (ES) Nr. 1316/2013 – Eiropas Stratēģisko investīciju fonds (turpmāk – regula 2015/1017), 2. panta 6. punktu, kā arī vidējas kapitalizācijas sabiedrības saskaņā ar regulas 2015/1017 2. panta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2023/2831 par Līguma par Eiropas Savienības darbību 107. un 108. panta piemērošanu de minimis atbalstam (turpmāk – Komisijas regula Nr. 2023/2831)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digitālās intensitātes novērtējums – novērtējums, kas nosaka ar 12 dažādu digitālo tehnoloģiju pieejamību un izmantošanu komersanta līmenī (pieejams internets vismaz 50% nodarbināto cilvēku, vēršanās pie informācijas un komunikācijas tehnoloģiju (turpmāk - IKT) speciālistiem, ātra platjosla, pieejams mobilais internets vismaz 20% nodarbināto cilvēku, pieejama tīmekļa vietne, vietne ar sarežģītām funkcijām, sociālie mediji, noteikta maksa par reklamēšanu internetā, vidēja un augsta mākoņdatošanas pakalpojumu iegāde, e-rēķinu nosūtīšana, kas piemēroti automatizētai apstrādei, e-komercijas tīmekļa pārdošana, kas veido vismaz 1% no kopējā apgrozījuma un interneta tirdzniecība starp patērētājiem, kas pārsniedz 10% no kopējā tīmekļa pārdošanas apjoma. Augsta un augstāka digitālā intensitāte attiecas uz uzņēmumiem, kas izmanto vismaz septiņas no šīm 12 digitālajām tehnoloģijām.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procesu digitalizācijai komercdarbībā, kā arī veicināt produktivitātes paaugstināšanu ar mērķtiecīgu resursu ieguldīšanu augstākas pievienotās vērtības radīšanai komersantu komercdarbības procesos.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gala labuma guvēji atbilstoši </w:t>
      </w:r>
      <w:r w:rsidR="00000000" w:rsidRPr="00000000" w:rsidDel="00000000">
        <w:rPr>
          <w:rtl w:val="0"/>
        </w:rPr>
        <w:t xml:space="preserve">2.1.</w:t>
      </w:r>
      <w:r w:rsidR="00000000" w:rsidRPr="00000000" w:rsidDel="00000000">
        <w:rPr>
          <w:rtl w:val="0"/>
        </w:rPr>
        <w:t xml:space="preserve"> 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Pasākums tiek īstenots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27 613 228 euro (tostarp elastības finansējums 4 355 304 euro), tai skaitā Eiropas Reģionālās attīstības fonda (turpmāk – ERAF) finansējums 23 471 243 euro (tostarp elastības finansējums 3 702 009 euro) un valsts budžeta līdzfinansējums 4 141 985 euro (tostarp elastības finansējums 653 295 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Maksimālais attiecināmais ERAF finansējuma apmērs nepārsniedz 85 %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pasākuma īstenošanai kopējo pasākumam pieejamo finansējumu plāno ne vairāk kā 23 257 924 euro apmērā, tai skaitā ERAF finansējumu – 19 769 234 euro apmērā un valsts budžeta līdzfinansējumu – 3 488 690 euro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no 2026. gada 1. janvāra palielināt pasākumam pieejamo kopējo attiecināmo finansējumu līdz šo noteikumu </w:t>
      </w:r>
      <w:r w:rsidR="00000000" w:rsidRPr="00000000" w:rsidDel="00000000">
        <w:rPr>
          <w:rtl w:val="0"/>
        </w:rPr>
        <w:t xml:space="preserve">6.</w:t>
      </w:r>
      <w:r w:rsidR="00000000" w:rsidRPr="00000000" w:rsidDel="00000000">
        <w:rPr>
          <w:rtl w:val="0"/>
        </w:rPr>
        <w:t xml:space="preserve"> punktā minētajam plānotajam kopējam attiecināmajam finansējuma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līdz 2029. gada 31. decembrim sasniedzami šādi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 komersanti  - 1750;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komersanti - 300;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uzņēmumi, kas panākuši augstu digitālo intensitāti – 140.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iesniegumu iesniegšanu izsludina vienu reizi par visu pasākumam pieejamo finansējumu.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 pēc projekta iesnieguma apstiprināšanas ir finansējuma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nolikumam un iesniedz to sadarbības iestādē, izmantojot Kohēzijas politikas fondu vadības informācijas sistēmu (turpmāk – vadības informācijas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šo noteikumu </w:t>
      </w:r>
      <w:r w:rsidR="00000000" w:rsidRPr="00000000" w:rsidDel="00000000">
        <w:rPr>
          <w:rtl w:val="0"/>
        </w:rPr>
        <w:t xml:space="preserve">20.</w:t>
      </w:r>
      <w:r w:rsidR="00000000" w:rsidRPr="00000000" w:rsidDel="00000000">
        <w:rPr>
          <w:rtl w:val="0"/>
        </w:rPr>
        <w:t xml:space="preserve"> punktā minētās atbalstāmās darbības īsteno saskaņā ar projekta īstenošanas stratēģiju, kurā norādīta detalizēta informācija par projekta īstenošanas plānu, mērķiem, uzņēmējdarbības digitalizācijas problēmām Latvijā un to risinājumiem, finansējuma saņēmēja darba uzdevumi un funkcijas, kā arī sasniedzamie rādītāji, lai nodrošinātu šo noteikumu </w:t>
      </w:r>
      <w:r w:rsidR="00000000" w:rsidRPr="00000000" w:rsidDel="00000000">
        <w:rPr>
          <w:rtl w:val="0"/>
        </w:rPr>
        <w:t xml:space="preserve">3.</w:t>
      </w:r>
      <w:r w:rsidR="00000000" w:rsidRPr="00000000" w:rsidDel="00000000">
        <w:rPr>
          <w:rtl w:val="0"/>
        </w:rPr>
        <w:t xml:space="preserve"> punktā minētā mērķa sasniegšanu. Projekta īstenošanas stratēģijā iekļauj arī gala labuma guvēju atlases procedūru. Projekta iesniedzējs minēto stratēģiju saskaņo ar atbildīgo iestādi un, kad saņemts saskaņojums, pievieno stratēģiju projekta iesniegumam.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kopā ar projekta iesniegumu iesniedz tā izstrādātu procedūru, kādā tiks nodrošināta komercdarbības atbalsta sniegšana gala labuma guvējiem.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projekta iesniegumam pievieno apliecinājumu, ka tam ir izveidota iekšējās kontroles sistēma korupcijas un interešu konflikta riska novēršanai atbilstoši šo noteikumu </w:t>
      </w:r>
      <w:r w:rsidR="00000000" w:rsidRPr="00000000" w:rsidDel="00000000">
        <w:rPr>
          <w:rtl w:val="0"/>
        </w:rPr>
        <w:t xml:space="preserve">40.10.</w:t>
      </w:r>
      <w:r w:rsidR="00000000" w:rsidRPr="00000000" w:rsidDel="00000000">
        <w:rPr>
          <w:rtl w:val="0"/>
        </w:rPr>
        <w:t xml:space="preserve">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izstrādā izmaksu un ieguvumu analīzi un iesniedz to kā projekta iesnieguma pielikumu.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Latvijas Investīciju un attīstības aģentūra sniedz atbalstu gala labuma guvējam granta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finansējuma saņēmējam, kas nodrošina projekta īstenošanu,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pasākumu nodrošināšana, ievērojot nediskriminācijas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uzņēmumu datubāzu iegāde, datu monitorings un analīze;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IT sistēmu, programmu un rīku izstrādes pakalpojumi, datu un informācijas uzkrāšana.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w:t>
      </w:r>
      <w:r w:rsidR="00000000" w:rsidRPr="00000000" w:rsidDel="00000000">
        <w:rPr>
          <w:rtl w:val="0"/>
        </w:rPr>
        <w:t xml:space="preserve"> apakšpunktā minēto darbību īstenošanai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ārpakalpojumu (piemēram, juridiskie pakalpojumi, mārketinga materiālu izgatavošana, mārketinga aktivitātes un citi ārpakalpojumi) izmaksas un piegāžu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 minētajām personāla izmaksām tiek piemērota vienotā likme 20 procentu apmērā no pārējām tiešajām attiecināmajām izmaksām, neieskaitot personāla izmaksas, atbilstoši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55. panta 1.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 norādītājām tiešajām attiecināmajām personāla izmaksām saskaņā ar regulas Nr. 2021/1060 54. panta b)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informatīvie materiāli (piemēram, brošūras,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20.5.</w:t>
      </w:r>
      <w:r w:rsidR="00000000" w:rsidRPr="00000000" w:rsidDel="00000000">
        <w:rPr>
          <w:rtl w:val="0"/>
        </w:rPr>
        <w:t xml:space="preserve"> apakšpunktā minētās darbības nodrošināšanai attiecināmas IT sistēmu, programmu un rīku izstrādes un uzturēšanas izmaksas pasākuma mērķiem tā īstenošanas laikā un atbilstoši šo noteikumu </w:t>
      </w:r>
      <w:r w:rsidR="00000000" w:rsidRPr="00000000" w:rsidDel="00000000">
        <w:rPr>
          <w:rtl w:val="0"/>
        </w:rPr>
        <w:t xml:space="preserve">37.</w:t>
      </w:r>
      <w:r w:rsidR="00000000" w:rsidRPr="00000000" w:rsidDel="00000000">
        <w:rPr>
          <w:rtl w:val="0"/>
        </w:rPr>
        <w:t xml:space="preserve"> punktam.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Pasākuma ietvaros gala labuma guvējs var veikt ieguldījumus šādu komercdarbības procesu uzlabošanā: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administratīvie procesi – finanses un grāmatvedība, administrācija, dokumentu vadība, projektu vadība, kopdarbība, sistēmu savietojamība;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personāla vadības procesi – cilvēku resursu vadība, darba laika uzskaite, darba deleģēšana, personāla iesaiste, novērtēšana un motivācija;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pārdošanas procesi – klientu piesaiste un darījumu vadības automatizācija, pārdošana un darījumu atsekošana, e-komercija, digitālais mārketings, digitālie risinājumi mazumtirdzniecībai, klientu attiecību pārvaldība (Customer relationship management – CRM);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resursu pārvaldības procesi – resursu vadība (Enterprise resource planning – ERP, noliktavu pārvaldības sistēmas), energoresursu pārvaldība, efektīvāka izmantošana;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pārvaldības procesi – datu drošība, datu glabāšana, komunikācijas infrastruktūra;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transports un loģistikas procesi – lietu internets, viedie mobilitātes risinājumi, uztveres sistēmas, satiksmes monitorings;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ražošanas un kvalitātes kontroles procesi –  ražošanas un biznesa procesu vadības un automatizācijas, kvalitātes kontroles sistēmas, datu sinhronizācija, datu analītika;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operatīvās vadības procesi – biznesa vadība, biznesa analītika, lielo datu analītika, risinājumi vadības lēmumu pieņemšanai, datu automatizācija, sinhronizācija;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stratēģiskā vadība – digitalizācijas (procesu un produktu) un inovāciju attīstības stratēģija;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ar informācijas un komunikācijas tehnoloģiju produktiem, tehnoloģijām, drošību vai procesiem saistītu uzlabojumu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jaunu digitālu risinājumu izstrāde - digitālu procesu prototipēšana.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Pasākuma ietvaros gala labuma guvējam ir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gatavo risinājumu, aparatūras, sensoru, iekārtu, programmatūras un informācijas tehnoloģiju infrastruktūras iegādes, uzstādīšanas un pielāgošanas izmaksas un ar tām saistīto konsultāciju izmaksas un ar tām saistīto konsultāciju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digitālās intensitātes novērtējuma aktivitāšu izmaksas: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 un otrreizējā digitālā brieduma testa veikšanas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digitālās ceļa kartes un atzinuma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w:t>
      </w:r>
      <w:r w:rsidR="00000000" w:rsidRPr="00000000" w:rsidDel="00000000">
        <w:rPr>
          <w:rtl w:val="0"/>
        </w:rPr>
        <w:t xml:space="preserve"> apakšpunktā minētās konsultāciju izmaksas nav pastāvīga vai periodiska darbība, tās nav saistītas ar gala labuma guvēja parastajām darbības izmaksām, piemēram, kārtējiem nodokļu konsultāciju pakalpojumiem, regulāriem juridiskajiem pakalpojumiem vai reklāmas pakalpojumiem. Granta daļa, ko gala labuma guvējs var izmantot šo noteikumu </w:t>
      </w:r>
      <w:r w:rsidR="00000000" w:rsidRPr="00000000" w:rsidDel="00000000">
        <w:rPr>
          <w:rtl w:val="0"/>
        </w:rPr>
        <w:t xml:space="preserve">28.1.</w:t>
      </w:r>
      <w:r w:rsidR="00000000" w:rsidRPr="00000000" w:rsidDel="00000000">
        <w:rPr>
          <w:rtl w:val="0"/>
        </w:rPr>
        <w:t xml:space="preserve"> apakšpunktā minēto konsultāciju izmaksu segšanai, proporcionāli nevar pārsniegt granta daļu, kas paredzēta pārējām šo noteikumu </w:t>
      </w:r>
      <w:r w:rsidR="00000000" w:rsidRPr="00000000" w:rsidDel="00000000">
        <w:rPr>
          <w:rtl w:val="0"/>
        </w:rPr>
        <w:t xml:space="preserve">28.1.</w:t>
      </w:r>
      <w:r w:rsidR="00000000" w:rsidRPr="00000000" w:rsidDel="00000000">
        <w:rPr>
          <w:rtl w:val="0"/>
        </w:rPr>
        <w:t xml:space="preserve"> apakšpunktā minēto attiecināmo izmaksu segšanai.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minēto atbalstāmo darbību ietvaros radušās izmaksas ir attiecināmas atbilstoši atbildīgās iestādes izstrādātajām vienkāršoto izmaksu metodikām, kas saskaņotas ar vadošo iestādi.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Neatbalstāmās darbības un izmaksas gala labuma guvējiem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standarta biroja tehnikas un datortehnikas iegāde, kas ir nepieciešama pamata iekšējo funkciju nodrošināšanai un procesu kopumam, kuru gala labuma guvējs veic neatkarīgi no darbības jomas;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atbalsts, izņemot drošības testus;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esošo programmu papildināšana ar jaunu funkcionalitāti lietotājiem;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 veikti ieguldījumi iekšējās funkcijās un procesos;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esošās programmatūras pielāgošana, izņemot drošības pilnveidojumu īstenošanu un jaunu programmatūru sinhronizēšanu atbalsta programmas mērķu īstenošanai komercdarbībā;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kas jau ir pabeigtas brīdī, kad tiek noslēgts Latvijas Investīciju un attīstības aģentūras līgums ar gala labuma guvēju un Latvijas Investīciju un attīstības aģentūras vienošanās ar sadarbības iestādi.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īstenošanas laikā rodas izmaksas, kas neatbilst šiem noteikumiem vai pārsniedz pieejamo attiecināmo finansējumu, gala labuma guvējs apņemas tās segt no paša rīcībā esošajiem līdzekļiem, kas nav saistīti ar publisku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Gala labuma guvējs atbalstāmās darbības var uzsākt tikai pēc atbalsta pieteikuma iesniegšanas Latvijas Investīciju un attīstības aģentūrā. Ja atbalsta pieteikums netiek apstiprināts, gala labuma guvējs visas projekta izmaksas sedz no saviem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Finansējuma saņēmējs projekta īstenošanu plāno saskaņā ar vienošanos par projekta īstenošanu, kas noslēgta starp finansējuma saņēmēju un sadarbības iestādi – Centrālo finanšu un līgumu aģentūru, bet ne ilgāk kā līdz 2029.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šo noteikumu spēkā stāšanās brīža. Šajos noteikumos minētās izmaksas gala labuma guvējiem ir attiecināmas no dienas, kad Finansējuma saņēmējs pieņēmis lēmumu par atbalsta piešķiršanu gala labuma guvējam.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Publiskos iepirkumus finansējuma saņēmējs veic saskaņā ar normatīvajiem aktiem publisko iepirkumu jomā, īstenojot atklātu, pārredzamu, nediskriminējošu un konkurenci nodrošinošu procedūru. Projekta ietvaros ir atbalstāma vides prasību un inovatīva risinājuma integrēšana preču un pakalpojuma iepirkumos.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 no attiecīgā līguma summas atbilstoši finansējuma saņēmēja izstrādātajiem avansa apjoma noteikšanas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saņēmēja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atbalsta programmas īstenošanu, atbalsta piešķiršanu un uzraudzību, tai skaitā par gala labuma guvējiem piešķirtā finansējuma izlietojumu, saskaņā ar šo noteikumu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gala labuma guvēju iesniegto pieteikumu vērtēšanas kritērijus un kārtību, kādā gala labuma guvējam tiek izsniegts grants, tiek nodrošināta granta izmantošanas uzraudzība, un mēneša laikā pēc atbalsta programmas stāšanās spēkā saskaņot to ar atbildīgo iestādi;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gala labuma guvēju iesniegto pieteikumu izvērtēšanu un komercdarbības atbalsta piešķiršanu atbilstoši vērtēšanas kritērijiem, komercdarbības atbalsta piešķiršanas prasībām un šo noteikumu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atbalsta pieteikumu iesniegšanu publicēt valsts platformā biznesa attīstībai www.business.gov.lv;</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komunikācijas un vizuālās identitātes pasākumus saskaņā ar regulas Nr. 2021/1060 47. un 50. pantu un normatīvo aktu par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piemērot vadošās iestādes un atbildīgās iestādes sagatavotās Eiropas Savienības fondu 2021.–2027. gada plānošanas perioda vienkāršoto izmaksu metodikas, kas programmas ietvaros ir attiecināmas ar to spēkā stāšanās brīdi;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principa "nenodarīt būtisku kaitējumu" ievērošanu finansējuma sniegšanā, lai gala labuma guvēja pieteikumā iekļautajai atbalstāmajam atbalsta mērķim nav ietekmes uz visiem vides mērķiem, vērtējot gan tiešās, gan primārās netiešās sekas visā aprites ciklā, vai paredzamā ietekme ir nebūtiska;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interešu konflikta neesamību saskaņā ar Eiropas Parlamenta un Padomes 2018. gada 18. jūlija Regulas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Regula Nr. 2018/1046), 61. panta prasībām un normatīvajiem aktiem publisko iepirkumu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saņēmēja darbiniekiem, kas iesaistīti gala labuma guvēju pieteikumu vērtēšanas procesā, parakstīt šo noteikumu </w:t>
      </w:r>
      <w:r w:rsidR="00000000" w:rsidRPr="00000000" w:rsidDel="00000000">
        <w:rPr>
          <w:rtl w:val="0"/>
        </w:rPr>
        <w:t xml:space="preserve">pielikumu</w:t>
      </w:r>
      <w:r w:rsidR="00000000" w:rsidRPr="00000000" w:rsidDel="00000000">
        <w:rPr>
          <w:rtl w:val="0"/>
        </w:rPr>
        <w:t xml:space="preserve"> esošo objektivitātes, konfidencialitātes un interešu konflikta neesības apliecinājumu, ka nepiedalīsies gala labuma guvēju pieteikumu izvērtēšanā interešu konflikta situācijā. Apliecinājumu paraksta pirms gala labuma guvēju pieteikumu izskatīšanas un vērtēšanas. Apliecinājumu finansējuma saņēmējs glabā atbilstoši Regulas Nr. 2018/1046 132. pantam un šo noteikumu </w:t>
      </w:r>
      <w:r w:rsidR="00000000" w:rsidRPr="00000000" w:rsidDel="00000000">
        <w:rPr>
          <w:rtl w:val="0"/>
        </w:rPr>
        <w:t xml:space="preserve">61.</w:t>
      </w:r>
      <w:r w:rsidR="00000000" w:rsidRPr="00000000" w:rsidDel="00000000">
        <w:rPr>
          <w:rtl w:val="0"/>
        </w:rPr>
        <w:t xml:space="preserve">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līdz projekta iesnieguma iesniegšanai izstrādāt iekšējās kontroles sistēmu korupcijas un interešu konflikta riska novēršanai publiskas personas institūcijā atbilstoši normatīvo aktu prasībām korupcijas un interešu konflikta riska novēršanas iekšējās kontroles sistēmu jomā, kas ietver arī: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atbalsta piešķiršanas procedūrā un publiskajos iepirkumos (preventīvus pasākumus un konstatēšanas pasākumus interešu konflikta riska kontrolei, tai skaitā paziņošanas procedūru, labošanas pasākumus) un informāciju par interešu konflikta novēršanu saskaņā ar Regulas Nr. 2018/1046 61.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 darbiniekiem jārīkojas, ja tie vēlas ziņot par iespējamiem pārkāpumiem (tai skaitā iespējamām koruptīvām darbībām), ietverot pasākumus, lai nodrošinātu ziņotāja anonimitāti un aizsardzību;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pasākumus aizliegto vienošanos riska kontrolei;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mehānismu dubultā finansējuma novēršanai ar citiem finansēšanas avotiem, tai skaitā ar Eiropas Savienības kohēzijas politikas programmu 2021.–2027. gadam, Eiropas Savienības struktūrfondu un Kohēzijas fonda 2014.–2020. gada plānošanas perioda darbības programmu "Izaugsme un nodarbinātība" un citiem ārvalstu finanšu instrumentiem;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trauksmes celšanas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procedūru disciplināratbildības piemērošanai;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divas reizes gadā kopā ar maksājuma pieprasījumu vadības informācijas sistēmā par katru gala labuma guvēju vai pēc atbildīgās iestādes pieprasījuma 10 darbdienu laikā iesniegt atbildīgajai iestādei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komersantu samaksāto nodokļu apmēru;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saņēmušo komersantu līdzfinansējuma avotu un apmēru;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saņēmušo komersantu eksporta apjoms;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katrā no Viedās specializācijas stratēģijas (turpmāk - RIS3) jomām sadalījumā pa gala labuma guvēju veidiem šādus RIS3 rādītājus: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ārējie izdevumi pētniecības darbiem, kas pasūtīti citās iestādēs, uzņēmumos, organizācijās (pētniecības un attīstības izdevumu apmērs (euro));</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apmērs – publiskais finansējums (euro);</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kapitālizdevumi – iekārtas, intelektuālā īpašuma tiesības, datoru programmatūra (pētniecības un attīstības izdevumu apmērs (euro));</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attīstības izdevumu apmērs – privātās investīcijas (euro);</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rūpnieciskie (lietišķie) pētījumi (pētniecības un attīstības izdevumu apmērs (euro));</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 ekonomiskā priekšizpēte (pētniecības un attīstības izdevumu apmērs (euro));</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darbaspēka izmaksas (pētniecības un attīstības izdevumu apmērs (euro));</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atbalstīto komersantu skaits;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radītie rūpnieciskā īpašuma objekti – patents un patentu pieteikumi (skaits);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radītie rūpnieciskā īpašuma objekti – reģistrēts dizainparaugs (skaits);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radītie rūpnieciskā īpašuma objekti – pusvadītāja izstrādājums vai tā pieteikums (skaits);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radītie rūpnieciskā īpašuma objekti – preču zīme (ieskaitot kolektīvās zīmes) un sertifikācijas zīme (skaits);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fundamentālie pētījumi (pētniecības un attīstības izdevumu apmērs (euro));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izstrādāt rīku www.business.gov.lv pie gala labuma guvēja atbalsta pieteikuma iesniegšanas gala labuma guvēja digitālās intensitātes novērtēšanai.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Gala labuma guvēju pieteikumu izvērtēšanas procesā iesaistītie finansējuma saņēmēja darbinieki paraksta objektivitātes, konfidencialitātes un interešu konflikta neesamības apliecinājumu, ka interešu konflikta situācijā nepiedalīsies gala labuma guvēju pieteikumu izvērtēšanā. Apliecinājumu paraksta pirms gala labuma guvēju pieteikumu izskatīšanas un vērtēšanas. Finansējuma saņēmējs apliecinājumu glabā atbilstoši Regulas Nr. 2018/1046 132. pantam un šo noteikumu </w:t>
      </w:r>
      <w:r w:rsidR="00000000" w:rsidRPr="00000000" w:rsidDel="00000000">
        <w:rPr>
          <w:rtl w:val="0"/>
        </w:rPr>
        <w:t xml:space="preserve">61.</w:t>
      </w:r>
      <w:r w:rsidR="00000000" w:rsidRPr="00000000" w:rsidDel="00000000">
        <w:rPr>
          <w:rtl w:val="0"/>
        </w:rPr>
        <w:t xml:space="preserve"> 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Gala labuma guvējs nevar pretendēt uz finansējuma saņemšanu,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piešķiršanas brīdī uz to ir attiecināms kāds no Eiropas Savienības fondu 2021.–2027. gada plānošanas perioda vadības likuma 22. pantā noteiktajiem projekta iesniedzēju izslēgšanas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fondu un Kohēzijas fonda līdzfinansēto projektu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Gala labuma guvējs katru nākamo atbalsta pieteikumu var iesniegt, ja ir īstenots iepriekšējais apstiprinātais atbalsta pieteikums, Finansējuma saņēmējs ir pieņēmis lēmumu par iepriekšējā atbalsta pieteikuma noraidīšanu vai sniegts Finansējuma saņēmēja atzinums par to, ka Finansējuma saņēmēja lēmumā par atbalsta pieteikuma apstiprināšanu ar nosacījumu ietvertie nosacījumi nav izpildīti.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Atbalsts netiek sniegts šādām darbībām, nozarēm, iekārtām un komersantiem: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2023/2831 1. panta 1. punktā noteiktajās neatbalstāmajās nozarēs;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 (turpmāk – NACE 2. red.),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minētas NACE 2. redakcijas K sadaļā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Parlamenta un Padomes 2021. gada 24. jūnija Regulas (ES) Nr. 2021/1058 par Eiropas Reģionālās attīstības fondu un Kohēzijas fondu 7. panta 1. punktā noteiktajās nozarēs un darbībās: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fosilo kurināmo, tostarp tā pakārtotu izmantošanu, izņemot projektus elektroenerģijas vai siltuma ražošanai, kā arī ar saistīto pārvades un sadales infrastruktūru, izmantojot dabasgāzi, atbilstoši Eiropas Komisijas paziņojuma "Tehniskie norādījumi par principa "nenodarīt būtisku kaitējumu" piemērošanu saskaņā ar Atveseļošanas un noturības mehānisma regulu" (Eiropas Savienības Oficiālais Vēstnesis, 2021. gada 18. februāris, Nr. C 58/1) III pielikuma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atkritumu poligoniem, atkritumu sadedzināšanas iekārtām (izņemot darbības, kas paredzētas iekārtām vienīgi nepārstrādājamu bīstamo atkritumu apstrādei, un darbības, kas paredzētas esošām iekārtām, lai palielinātu energoefektivitāti, uztvertu izplūdes gāzes glabāšanai vai izmantošanai vai reģenerētu materiālus no sadedzināšanas iekārtu darbības rezultātā radušamies pelniem, ar nosacījumu, ka šādas darbības saskaņā ar šo investīciju nepalielina iekārtu atkritumu pārstrādes jaudu vai nepagarina iekārtu darbmūžu, par ko pētniecības projekta noslēgumā ir sniegti pierādījumi iekārtu līmenī) un mehāniski bioloģiskās apstrādes iekārtām (izņemot darbības, kas paredzētas esošām iekārtām, lai palielinātu energoefektivitāti vai modernizētu dalīto atkritumu pārstrādes darbības, atkritumus pārveidojot par komposta bioatkritumiem un veicot bioatkritumu anaerobo noārdīšanu, ar nosacījumu, ka šādas darbības nepalielina iekārtu atkritumu pārstrādes jaudu vai nepagarina iekārtu darbmūžu, par ko pētniecības projekta noslēgumā ir sniegti pierādījumi iekārtu līmenī);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kas saistībā ar ilgstošu atkritumu apglabāšanu var radīt kaitējumu videi;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kaitē labam ūdensobjektu stāvoklim vai labam to ekoloģiskajam potenciālam, ieskaitot virszemes ūdeņus un gruntsūdeņus, vai labam jūras ūdeņu vides stāvoklim;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kaitē vides piesārņojuma novēršanai un kontrolei;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kas kaitē bioloģiskās daudzveidības un ekosistēmu aizsardzībai un atjaunošanai, ja minētā darbība kaitē ekosistēmu labam stāvoklim un izturētspējai vai dzīvotņu un sugu (tostarp Eiropas Savienības nozīmes dzīvotņu un sugu) aizsardzības statusam;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Eiropas Savienības emisijas kvotu tirdzniecības sistēmas ietvaros, kas panāk tādu prognozēto siltumnīcefekta gāzu emisiju līmeni, kas nav zemāks par attiecīgajām līmeņatzīmēm.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gala labuma guvējs vienlaikus darbojas gan kādā no atbalstāmajām nozarēm, gan kādā no šo noteikumu </w:t>
      </w:r>
      <w:r w:rsidR="00000000" w:rsidRPr="00000000" w:rsidDel="00000000">
        <w:rPr>
          <w:rtl w:val="0"/>
        </w:rPr>
        <w:t xml:space="preserve">44.</w:t>
      </w:r>
      <w:r w:rsidR="00000000" w:rsidRPr="00000000" w:rsidDel="00000000">
        <w:rPr>
          <w:rtl w:val="0"/>
        </w:rPr>
        <w:t xml:space="preserve"> punktā minētajām neatbalstāmajām nozarēm un darbībām, tas, lai saņemtu atbalstu, nodrošina šo nozaru un darbību vai izmaksu nodalīšanu.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saņēmējam ir tiesības bez maksas pieprasīt un saņemt tiešu pieeju datiem valsts informācijas sistēmās, datubāzēs un reģistros tādā apjomā, kāds nepieciešams atbalsta programmas īstenošanai un atbalsta sniegšanai gala labuma guvējiem atbilstoši šiem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Maksimālā atbalsta summa gala labuma guvējam vienam grantam, ievērojot šo noteikumu </w:t>
      </w:r>
      <w:r w:rsidR="00000000" w:rsidRPr="00000000" w:rsidDel="00000000">
        <w:rPr>
          <w:rtl w:val="0"/>
        </w:rPr>
        <w:t xml:space="preserve">54.</w:t>
      </w:r>
      <w:r w:rsidR="00000000" w:rsidRPr="00000000" w:rsidDel="00000000">
        <w:rPr>
          <w:rtl w:val="0"/>
        </w:rPr>
        <w:t xml:space="preserve"> punktā minēto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w:t>
      </w:r>
      <w:r w:rsidR="00000000" w:rsidRPr="00000000" w:rsidDel="00000000">
        <w:rPr>
          <w:rtl w:val="0"/>
        </w:rPr>
        <w:t xml:space="preserve"> apakšpunktā noteiktajām izmaksām ir 10 000 euro;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28.2.</w:t>
      </w:r>
      <w:r w:rsidR="00000000" w:rsidRPr="00000000" w:rsidDel="00000000">
        <w:rPr>
          <w:rtl w:val="0"/>
        </w:rPr>
        <w:t xml:space="preserve"> apakšpunktā noteiktajām izmaksām ir 1 000 euro.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minēto atbalstāmo darbību ietvaros radušās izmaksas ir attiecināmas atbilstoši atbildīgās iestādes izstrādātajām vienkāršoto izmaksu metodikām, kas saskaņotas ar vadošo iestādi.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Atbildīgā iestāde izstrādā digitālās intensitātes padziļināta novērtējuma metodiku.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Gala labuma guvējs preču un pakalpojumu iegādi veic saskaņā ar normatīvajiem aktiem publisko iepirkumu jomā, īstenojot atklātu, pārredzamu, nediskriminējošu un konkurenci neierobežojošu procedūru.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Finansējumu šo noteikumu gala labuma guvējiem piešķir saskaņā ar Komisijas regulu Nr. 2023/2831 un normatīvajiem aktiem par de minimis atbalsta uzskaites un piešķiršanas kārtību un de minimis atbalsta uzskaites veidlapu paraugiem.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Par atbalsta piešķiršanas brīdi uzskatāms brīdis, kad finansējuma saņēmējs ir pieņēmis lēmumu par komercdarbības atbalsta piešķiršanu gala labuma guvējam.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Potenciālais gala labuma guvējs, piesakoties atbalstam šo noteikumu </w:t>
      </w:r>
      <w:r w:rsidR="00000000" w:rsidRPr="00000000" w:rsidDel="00000000">
        <w:rPr>
          <w:rtl w:val="0"/>
        </w:rPr>
        <w:t xml:space="preserve">35.</w:t>
      </w:r>
      <w:r w:rsidR="00000000" w:rsidRPr="00000000" w:rsidDel="00000000">
        <w:rPr>
          <w:rtl w:val="0"/>
        </w:rPr>
        <w:t xml:space="preserve"> punktā minētajā kārtībā, norāda de minimis atbalsta uzskaites sistēmā (turpmāk – sistēma) sagatavotās veidlapas identifikācijas numuru. Atbalsta sniedzējs uzskaita atbalstu, kas piešķirts saskaņā ar Komisijas regulu Nr. 2023/2831, ievērojot normatīvajos aktos par de minimis atbalsta uzskaites un piešķiršanas kārtību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komercdarbības atbalsts tiek piešķirts saskaņā ar Komisijas regulu Nr. 2023/2831, maksimālā atbalsta intensitāte gala labuma guvējam no projekta kopējām izmaksām nevar pārsniegt 50%.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punktā noteiktā atbalsta intensitāte tiek piemērota izmaksām bez pievienotās vērtības nodokļa, izņemot gadījumus, kas noteikti šo noteikumu </w:t>
      </w:r>
      <w:r w:rsidR="00000000" w:rsidRPr="00000000" w:rsidDel="00000000">
        <w:rPr>
          <w:rtl w:val="0"/>
        </w:rPr>
        <w:t xml:space="preserve">56.</w:t>
      </w:r>
      <w:r w:rsidR="00000000" w:rsidRPr="00000000" w:rsidDel="00000000">
        <w:rPr>
          <w:rtl w:val="0"/>
        </w:rPr>
        <w:t xml:space="preserve"> punktā.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2021/1060 64. panta 1. punkta c) apakšpunkta nosacījumiem, ja tas nav atgūstams atbilstoši normatīvajiem aktiem nodokļu politikas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Finansējuma saņēmējs pirms de minimis atbalsta piešķiršanas gala labuma guvējam pārbauda, vai plānotais de minimis atbalsts kopā ar iepriekšējos trijos gados no atbalsta piešķiršanas dienas saņemto de minimis atbalstu viena vienota uzņēmuma līmenī nepārsniedz Komisijas regulas Nr. 2023/2831 3. panta 2. punktā noteikto maksimālo de minimis atbalsta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Komersants, ievērojot Komisijas regulas Nr. 2023/2831 5. panta 1. un 3. punktu, de minimis atbalstu drīkst kumulēt ar citu de minimis atbalstu līdz Komisijas regulas Nr. 2023/2831 3. panta 2. punktā noteiktajam attiecīgajam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Šo noteikumu ietvaros saņemto de minimis atbalstu var apvienot ar citu de minimis 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lēmumu par de minimis atbalsta piešķiršanu saskaņā ar Komisijas regulas Nr. 2023/2831 7. panta 3. punktu un 8. 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pirms de minimis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euro,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likuma "Par nodokļiem un nodevām" 41. pantu. Ja gala labuma guvējs neatbilst minētajam nosacījumam, finansējuma saņēmējs atbalstu nepiešķir.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 Finansējuma saņēmējs un gala labuma guvējs nodrošina informācijas pieejamību 10 gadus, skaitot no atbalsta piešķiršanas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saņēmējs nepiešķir gala labuma guvējam de minimis atbalstu, ja de minimis atbalsts ir saistīts ar kādu no Komisijas regulas Nr. 2023/2831 1. panta 1. punktā minētajām nozarēm un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tiek pārkāptas komercdarbības atbalsta kontroles normas, kas izriet no Komisijas regulas Nr. 2023/2831, gala labuma guvējam ir pienākums atmaksāt atbalsta sniedzējam visu projekta ietvaros saņemto nelikumīgo de minimis atbalstu kopā ar procentiem no līdzekļiem, kas brīvi no komercdarbības atbalsta, atbilstoši Komercdarbības atbalsta kontroles likuma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gala labuma guvējs vienlaikus darbojas gan kādā no nozarēm, kas minētas Komisijas regulas Nr. 2023/2831 1. panta 1. punkta a), b), c) vai d) apakšpunktā, gan vienā vai vairākās citās nozarēs, uz kurām attiecas šīs regulas darbības joma, tas nodrošina šo nozaru darbību vai izmaksu nodalīšanu saskaņā ar Komisijas regulas Nr. 2023/2831 1. panta 2. punktu, nodrošinot, ka darbības nozarēs, kuras ir izslēgtas no šīs regulas darbības jomas, negūst labumu no de minimis atbalsta, ko piešķir saskaņā ar Komisijas regulu Nr. 2023/2831.</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24-TA-672</w:t>
    </w:r>
    <w:r>
      <w:br/>
    </w:r>
    <w:r w:rsidR="00000000" w:rsidRPr="00000000" w:rsidDel="00000000">
      <w:rPr>
        <w:rtl w:val="0"/>
      </w:rPr>
      <w:t xml:space="preserve">Izdrukāts 29.07.2026. 22.11 - 1.0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24-TA-672</w:t>
    </w:r>
    <w:r>
      <w:br/>
    </w:r>
    <w:r w:rsidR="00000000" w:rsidRPr="00000000" w:rsidDel="00000000">
      <w:rPr>
        <w:rtl w:val="0"/>
      </w:rPr>
      <w:t xml:space="preserve">Izdrukāts 29.07.2026. 22.11 - 1.0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noteikumu_projekts_24-TA-672.docx</dc:title>
</cp:coreProperties>
</file>

<file path=docProps/custom.xml><?xml version="1.0" encoding="utf-8"?>
<Properties xmlns="http://schemas.openxmlformats.org/officeDocument/2006/custom-properties" xmlns:vt="http://schemas.openxmlformats.org/officeDocument/2006/docPropsVTypes"/>
</file>