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turpināt konsultācijas ar Eiropas Komisiju par Eiropas Savienības kohēzijas politikas programmu 2021.–2027. gadam un pēc konceptuālas saskaņošanas ar Eiropas Komisiju iesniegt Ministru kabinetā apstiprināšanai precizēto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27.06.2022. rīkojuma Nr. 467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iesniegt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27.06.2022. rīkojuma Nr. 467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 un tai pievienoto Vides aizsardzības un reģionālās attīstības ministrijas sadarbībā ar Ekonomikas ministriju un Izglītības un zinātnes ministriju saskaņošanas procesā ar Eiropas Komisiju precizēto Taisnīgas pārkārtošanās teritoriālo plānu (Eiropas Savienības kohēzijas politikas programmas 2021.–2027. gadam 8. pielikums) un tā darbībām pieejamā Taisnīgas pārkārtošanās fonda finansējuma, sasniedzamo rādītāju un atbildības sadalījumu (Eiropas Savienības kohēzijas politikas programmas 2021.–2027. gadam 9. pielikums).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03.11.2022. rīkojuma Nr. 793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atkārtoti iesniegt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03.11.2022. rīkojuma Nr. 793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28.12.2023. rīkojuma Nr. 928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iesniegt šā rīkojuma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28.12.2023. rīkojuma Nr. 928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15.11.2024. rīkojuma Nr. 953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ministrijai iesniegt šā rīkojuma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15.11.2024. rīkojuma Nr. 953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29.05.2025. rīkojuma Nr. 314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ministrijai iesniegt šā rīkojuma </w:t>
      </w:r>
      <w:r w:rsidR="00000000" w:rsidRPr="00000000" w:rsidDel="00000000">
        <w:rPr>
          <w:rtl w:val="0"/>
        </w:rPr>
        <w:t xml:space="preserve">11.</w:t>
      </w:r>
      <w:r w:rsidR="00000000" w:rsidRPr="00000000" w:rsidDel="00000000">
        <w:rPr>
          <w:rtl w:val="0"/>
        </w:rPr>
        <w:t xml:space="preserve"> punktā minēto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29.05.2025. rīkojuma Nr. 314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13.10.2025. rīkojuma Nr. 650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ministrijai iesniegt šā rīkojuma 13. punktā minēto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13.10.2025. rīkojuma Nr. 650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ministrijai iesniegt šā rīkojuma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Eiropas Savienības kohēzijas politikas programmas 2021.–2027. gadam konsolidēto redakciju apstiprināšanai Eiropas Komisijā.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26-TA-116</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26-TA-116</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rīkojuma_konsolidētā_versija_26-TA-116.docx</dc:title>
</cp:coreProperties>
</file>

<file path=docProps/custom.xml><?xml version="1.0" encoding="utf-8"?>
<Properties xmlns="http://schemas.openxmlformats.org/officeDocument/2006/custom-properties" xmlns:vt="http://schemas.openxmlformats.org/officeDocument/2006/docPropsVTypes"/>
</file>