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 oktobrī (prot. Nr. 48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Nenodokļu ieņēmumu ieskaitīšanas valsts pamatbudžeta ieņēmumos un atmaksas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25. panta</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to nenodokļu ieņēmumu veidus, kurus pirms pārskaitīšanas valsts pamatbudžeta ieņēmumos uzskaita valsts budžeta maksājumus administrējošās institūcijas kontā, kā arī kārtību, kādā šo veidu nenodokļu ieņēmumus ieskaita valsts pamatbudžeta ieņēmumos un veic to atmaksu.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kārtība piemērojama šādiem valsts pamatbudžetā ieskaitāmiem nenodokļu ieņēmumu veidiem atbilstoši normatīvajiem aktiem par budžetu ieņēmumu klasifikāciju: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ieņēmumi no uzņēmējdarbības un īpašuma;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kancelejas nodeva par zemesgrāmatas veiktajām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pārējie nenodokļu ieņēmumi;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ieņēmumi no valsts (pašvaldību) īpašuma iznomāšanas, pārdošanas un no nodokļu pamatparāda kapitalizācijas.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kārtība nav piemērojama: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ieņēmumiem, kas atzīti Valsts ieņēmumu dienesta administrēto nodokļu, nodevu un citu tā administrēto uz valsts budžetu attiecināmo maksājumu uzskaitē;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nenodokļu ieņēmumiem, kas atzīti Valsts kases valsts budžeta finanšu uzskaitē.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budžeta maksājumus administrējošā institūcija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ieņēmumu veidu maksājumus pirms to pārskaitīšanas valsts pamatbudžeta ieņēmumos uzskaita savā kontā Valsts kasē.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budžeta maksājumus administrējošā institūcija ir atbildīga par saņemto nenodokļu ieņēmumu maksājumu atpazīšanu pirms to pārskaitīšanas valsts pamatbudžeta ieņēmumos un attiecināšanu uz konkrēto nenodokļu maksātāju.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nenodokļu ieņēmumu maksājumu atpazīšanas valsts budžeta maksājumus administrējošā institūcija ne retāk kā reizi mēnesī līdz mēneša pēdējai darbdienai ieskaita atpazīto nenodokļu ieņēmumu summu valsts pamatbudžeta ieņēmumu kontā, ko rīko Valsts kase.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budžeta maksājumus administrējošā institūcija atmaksā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 kontā pārmaksāto vai nepareizi iemaksāto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darbdienu laikā no maksātāja iesnieguma saņemšanas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bez maksātāja iesnieguma uz kontu, no kura maksājums saņemts.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kase atmaksā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kontā iemaksāto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saņemts valsts budžeta maksājumus administrējošās institūcijas pieprasījums par pārmaksātās vai nepareizi iemaksātās summas atmaksu, – piecu darbdienu laikā no dienas, kad saņemts minētais pieprasījums, uz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saņemts maksājums no maksātāja, kas nav valsts budžeta maksājumus administrējošā institūcija, – piecu darbdienu laikā no dienas, kad saņemts minētais maksājums, uz kontu, no kura maksājums saņemts.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 </w:t>
      </w:r>
      <w:r w:rsidR="00000000" w:rsidRPr="00000000" w:rsidDel="00000000">
        <w:rPr>
          <w:rtl w:val="0"/>
        </w:rPr>
        <w:t xml:space="preserve">punkts</w:t>
      </w:r>
      <w:r w:rsidR="00000000" w:rsidRPr="00000000" w:rsidDel="00000000">
        <w:rPr>
          <w:rtl w:val="0"/>
        </w:rPr>
        <w:t xml:space="preserve"> attiecībā uz kancelejas nodevām par zemesgrāmatas veiktajām darbībām piemērojams ar 2024. gada 1. martu.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Noteikumi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23-TA-639</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23-TA-639</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noteikumu_projekts_23-TA-639.docx</dc:title>
</cp:coreProperties>
</file>

<file path=docProps/custom.xml><?xml version="1.0" encoding="utf-8"?>
<Properties xmlns="http://schemas.openxmlformats.org/officeDocument/2006/custom-properties" xmlns:vt="http://schemas.openxmlformats.org/officeDocument/2006/docPropsVTypes"/>
</file>