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1. jūnija noteikumos Nr. 345 "Aizsargātā lietotāja tirdzniecības pakalpojuma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ievērojot likuma "Par valsts budžetu 2026. gadam un budžeta ietvaru 2026., 2027. un 2028. gadam" 72.pantu līdz 2026.gada 31.oktobrim sagatavot un iesniegt Ministru kabinetā rīkojuma projektu par finanšu līdzekļu piešķiršanu no valsts budžeta resora "74. Gadskārtējā valsts budžeta izpildes procesā pārdalāmais finansējums" programmas 23.00.00 "Valsts atbalsta programmas un citi valsts nozīmes pasākumi" 2 000 000 </w:t>
      </w:r>
      <w:r w:rsidR="00000000" w:rsidRPr="00000000" w:rsidDel="00000000">
        <w:rPr>
          <w:i w:val="1"/>
          <w:rtl w:val="0"/>
        </w:rPr>
        <w:t xml:space="preserve">euro</w:t>
      </w:r>
      <w:r w:rsidR="00000000" w:rsidRPr="00000000" w:rsidDel="00000000">
        <w:rPr>
          <w:rtl w:val="0"/>
        </w:rPr>
        <w:t xml:space="preserve"> apmērā aizsargāto elektroenerģijas lietotāju atbalstam 2026.gadā.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2027. un turpmākajos gados finansējumu aizsargāto elektroenerģijas lietotāja atbalstam, Klimata un enerģētikas ministrijai izdevumu pārskatīšanas procesā izstrādāt un likuma "Par valsts budžetu 2026. gadam un budžeta ietvaru 2026., 2027. un 2028. gadam" sagatavošanas procesā iesniegt nepieciešamos grozījumus normatīvajos aktos, lai sagatavotu fiskāli neitrālus priekšlikumus, neradot negatīvu ietekmi uz valsts budžetu vidējā termiņā.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26-TA-1085</w:t>
    </w:r>
    <w:r>
      <w:br/>
    </w:r>
    <w:r w:rsidR="00000000" w:rsidRPr="00000000" w:rsidDel="00000000">
      <w:rPr>
        <w:rtl w:val="0"/>
      </w:rPr>
      <w:t xml:space="preserve">Izdrukāts 06.10.2026. 12.43 - 3.0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mk_sēdes_protokollēmuma_projekts_26-TA-1085.docx</dc:title>
</cp:coreProperties>
</file>

<file path=docProps/custom.xml><?xml version="1.0" encoding="utf-8"?>
<Properties xmlns="http://schemas.openxmlformats.org/officeDocument/2006/custom-properties" xmlns:vt="http://schemas.openxmlformats.org/officeDocument/2006/docPropsVTypes"/>
</file>