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Noziedzīgi iegūtu līdzekļu legalizācijas un terorisma un proliferācijas finansēšanas novēršanas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Noziedzīgi iegūtu līdzekļu legalizācijas un terorisma un proliferācijas finansēšanas novēršanas likumā (Latvijas Republikas Saeimas un Ministru Kabineta Ziņotājs, 2008, 16. nr.; 2009, 2. nr.; Latvijas Vēstnesis, 2009, 196., 205. nr.; 2011, 60. nr.; 2012, 100. nr.; 2013, 187., 227. nr.; 2014, 172., 257. nr.; 2015, 124. nr.; 2016, 31., 115. nr.; 2017, 132., 222. nr.; 2018, 89., 220. nr.; 2019, 129. nr.; 2021, 121.B, 193. nr.; 2022, 207. nr.; 2023, 231.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7. punktu ar "n"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kriptoaktīvu pakalpojumu sniedzējs.”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3. panta pirmās daļas 11.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45. panta pirmās daļas 1. punktu pēc vārdiem “un pārdošanu,” ar vārdiem “kriptoaktīvu pakalpojumu sniedzējus”;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pārejas noteikumu 68.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 Grozījumi šā likuma 1. panta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punktā, 2.</w:t>
      </w:r>
      <w:r w:rsidR="00000000" w:rsidRPr="00000000" w:rsidDel="00000000">
        <w:rPr>
          <w:vertAlign w:val="superscript"/>
          <w:rtl w:val="0"/>
        </w:rPr>
        <w:t xml:space="preserve">4</w:t>
      </w:r>
      <w:r w:rsidR="00000000" w:rsidRPr="00000000" w:rsidDel="00000000">
        <w:rPr>
          <w:rtl w:val="0"/>
        </w:rPr>
        <w:t xml:space="preserve"> punkts, grozījumi 11. panta pirmās daļas 7. punktā un 11.</w:t>
      </w:r>
      <w:r w:rsidR="00000000" w:rsidRPr="00000000" w:rsidDel="00000000">
        <w:rPr>
          <w:vertAlign w:val="superscript"/>
          <w:rtl w:val="0"/>
        </w:rPr>
        <w:t xml:space="preserve">2</w:t>
      </w:r>
      <w:r w:rsidR="00000000" w:rsidRPr="00000000" w:rsidDel="00000000">
        <w:rPr>
          <w:rtl w:val="0"/>
        </w:rPr>
        <w:t xml:space="preserve"> pants zaudē spēku 2024. gada 29. decembrī. Grozījums šā likuma 45. panta otrās daļas 6. punkta "e" apakšpunktā zaudē spēku 2025. gada 30. decembrī."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70., 71., 72. un 73.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 Grozījums šā likuma 45. panta pirmās daļas 1. punktā stājas spēkā 2024. gada 30. decembrī.</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 Kriptoaktīvu pakalpojumu sniedzējs, kuru atbilstoši šā likuma 45. panta otrās daļas 6. punkta "e" apakšpunktam uzrauga Valsts ieņēmumu dienests, no 2024. gada 1. jūlija iesniedz Latvijas Bankai pieteikumu par atļaujas izsniegšanu kriptoaktīvu pakalpojumu sniegšanai saskaņā ar Eiropas Parlamenta un Padomes 2023. gada 31. maija Regulas (ES) 2023/1114 par kriptoaktīvu tirgiem un ar ko groza Regulas (ES) Nr. 1093/2010 un (ES) Nr. 1095/2010 un Direktīvas 2013/36/ES un (ES) 2019/1937 (turpmāk - Regula Nr. 2023/1114) prasībām. Lēmumu par atļaujas piešķiršanu kriptoaktīvu pakalpojumu sniegšanai Latvijas Banka pieņem ne ātrāk kā 2024. gada 30. decembrī.</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 Ja kriptoaktīvu pakalpojumu sniedzējs, kuru atbilstoši šā likuma 45. panta otrās daļas 6. punkta "e" apakšpunktam uzrauga Valsts ieņēmumu dienests, nav iesniedzis pieteikumu Latvijas Bankai par atļaujas izsniegšanai un nav saņēmis atļauju kriptoaktīvu pakalpojumu sniegšanai saskaņā ar Regulas Nr. 2023/1114 prasībām, tas pārtrauc kriptoaktīvu pakalpojumu sniegšanu 2025. gada 30. decembrī.</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 Valsts ieņēmumu dienests turpina kriptoaktīvu pakalpojuma sniedzēju uzraudzību atbilstoši šim likumam līdz dienai, kad Latvijas Banka ir tam izsniegusi atļauju kriptoaktīvu pakalpojumu sniegšanai saskaņā ar Regulas Nr. 2023/1114 prasībām, bet ne ilgāk kā līdz 2025. gada 30. decembrim. Valsts ieņēmumu dienests no 2024. gada 30 .decembra nereģistrē jaunus kriptoaktīvu pakalpojumu sniedzējus."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23-TA-3261</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23-TA-3261</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likumprojekts_(grozījumi)_23-TA-3261.docx</dc:title>
</cp:coreProperties>
</file>

<file path=docProps/custom.xml><?xml version="1.0" encoding="utf-8"?>
<Properties xmlns="http://schemas.openxmlformats.org/officeDocument/2006/custom-properties" xmlns:vt="http://schemas.openxmlformats.org/officeDocument/2006/docPropsVTypes"/>
</file>