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1.1.2. specifiskā atbalsta mērķa “Prasmju attīstīšana viedās specializācijas,  industriālās pārejas un uzņēmējdarbības veicināšanai” 1.1.2.1. pasākuma "RIS3 industriālās prasmes"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1.1.2. specifiskā atbalsta mērķa “Prasmju attīstīšana viedās specializācijas,  industriālās pārejas un uzņēmējdarbības veicināšanai” 1.1.2.1. pasākuma "RIS3 industriālās prasmes" (turpmāk – pasākums) pirmās kārtas projektu iesniegumu atlasi;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kārtai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(turpmāk – ERAF) projekta (turpmāk – projekts) iesniedzējam, finansējuma saņēmējam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pirmās kārtas projekta īstenošanas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ir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akadēmiskais personāls – Latvijas augstskolā akadēmiskajos amatos ievēlētas personas, kā arī akadēmiskajos amatos neievēlētas personas (viesprofesori, asociētie viesprofesori, viesdocenti vai vieslektori), kuru docētajos studiju kursos paredzētas tēmas, kas saistītas ar augsta līmeņa kiberdrošības prasmju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saimniecisko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Latvijas Republikas zinātnisko institūciju reģistrā reģistrēta zinātniskā institūcija, kas atbilst šo noteikumu </w:t>
      </w:r>
      <w:r w:rsidR="00000000" w:rsidRPr="00000000" w:rsidDel="00000000">
        <w:rPr>
          <w:rtl w:val="0"/>
        </w:rPr>
        <w:t xml:space="preserve">2.7.</w:t>
      </w:r>
      <w:r w:rsidR="00000000" w:rsidRPr="00000000" w:rsidDel="00000000">
        <w:rPr>
          <w:rtl w:val="0"/>
        </w:rPr>
        <w:t xml:space="preserve"> apakšpunktā minētajai pētniecības organizācijas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darbības, kurām nav saimnieciska rakstura un kas atbilst šo noteikumu </w:t>
      </w:r>
      <w:r w:rsidR="00000000" w:rsidRPr="00000000" w:rsidDel="00000000">
        <w:rPr>
          <w:rtl w:val="0"/>
        </w:rPr>
        <w:t xml:space="preserve">2.3.</w:t>
      </w:r>
      <w:r w:rsidR="00000000" w:rsidRPr="00000000" w:rsidDel="00000000">
        <w:rPr>
          <w:rtl w:val="0"/>
        </w:rPr>
        <w:t xml:space="preserve">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publiska izglītība, kuras mērķis ir vairot un uzlabot cilvēkresursu prasmes un kas tiek nodrošināta valsts izglītības sistēmas ietvaros un galvenokārt vai pilnībā ir valsts finansēta un uzraudzīta;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neatkarīga pētniecība un izstrāde ar mērķi iegūt vairāk zināšanu un labāku izpratni, tostarp īstenota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 pētniecības organizācijas nodaļa vai pētniecības organizācijas meitas uzņēmums (tāda komercsabiedrība, kurā mātes uzņēmuma līdzdalības daļa pārsniedz 50 procentu vai kurā mātes uzņēmumam ir balsu vairākums un kura atbilst šo noteikumu </w:t>
      </w:r>
      <w:r w:rsidR="00000000" w:rsidRPr="00000000" w:rsidDel="00000000">
        <w:rPr>
          <w:rtl w:val="0"/>
        </w:rPr>
        <w:t xml:space="preserve">2.7.</w:t>
      </w:r>
      <w:r w:rsidR="00000000" w:rsidRPr="00000000" w:rsidDel="00000000">
        <w:rPr>
          <w:rtl w:val="0"/>
        </w:rPr>
        <w:t xml:space="preserve">apakšpunktā minētajai pētniecības organizācijas definīcijai), vai pētniecības organizācija kopīgi ar citām pētniecības organizācijām, vai pētniecības organizācija kopīgi ar trešajām pusēm, atklātā konkursā noslēdzot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visa peļņa no šādām darbībām tiek atkal ieguldīta pētniecības organizācijas pamatdarbībās;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doktoranti – doktora studiju programmās studējošie un zinātnes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doktorantūras grants – mērķēts finansējums doktoranta pētniecības veikšanai, kas saistīta ar doktorantūras studiju procesa, promocijas darba vai doktora teorētiskā pētījuma un mākslinieciskās jaunrades darba sekmīgu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pētniecības organizācija – pētniecības un zināšanu izplatīšanas organizācija, kas atbilst Komisijas regulas Nr. 651/2014 2. panta 83.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dzīves cikls – periods, kas aptver laiku no projekta darbību uzsākšanas līdz vismaz pieciem gadiem pēc projekta noslēguma maksājuma veikšanas vai projektā iegādātā aprīkojuma lietderīgās lietošanas laikposma beigām, ja tas ir garāks par pieciem gadiem pēc projekta noslēguma maksājuma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uzņēmumi – Latvijas Republikas Komercreģistrā reģistrēti saimnieciskās darbības veicēji;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zinātnes universitāte – nacionāla līmeņa zinātnes, izglītības un kultūras institūcija, kura atbilstoši augstākās izglītības standartiem īsteno trīs augstākās izglītības līmeņu studiju programmas – bakalaura, maģistra un doktora studiju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kārtas mērķis ir stiprināt kiberdrošības zināšanu kapacitāti valsts izglītības sistēmas ietvaros, akadēmisko un pētniecības izcilību Latvijā, lai  veicinātu augsta līmeņa digitālo prasmju īpatsvara pieaugumu valsts drošības stiprināšanai, pētniecības attīstībai un uzņēmējdarbības veicināšanai kiberdrošības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kārtas mērķa grupa ir augstākās izglītības un zinātnes institūcijas, akadēmiskais personāls, studējošie, publiskajās iestādēs, organizācijās un uzņēmumos nodarbinātie kiberdrošības un mākslīgā intelekta tehnoloģiju jomā.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kārtas ietvaros plānotais un pieejamais kopējais attiecināmais finansējums ir 9 800 000 euro, tai skaitā ERAF finansējums – 8 330 000 euro  un valsts budžeta līdzfinansējums – 1 470 000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Maksimālais attiecināmais ERAF finansējuma apmērs ir 85 procenti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pirmās kārtas ietvaros līdz 2029.gada 31.decembrim ir sasniedzami šādi uzraudzības rādītāji un to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rādītāji attiecībā uz mazo un vidējo uzņēmumu nodarbināto iesaisti mācībās, kas saistītas ar augsta līmeņa kiberdrošības un mākslīgā intelekta tehnoloģiju prasmju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mazo un vidējo uzņēmumu (mazo un vidējo saimnieciskās darbības veicēju) nodarbināto dalībnieku skaits, kuri pabeidz mācības prasmju attīstīšanai gudras specializācijas, rūpniecības pārejas un uzņēmējdarbības jomā – 390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mazie un vidējie uzņēmumi, kas investē prasmēs pārdomātai specializācijai, industriālajai pārejai un uzņēmējdarbības veicināšanai – 128;</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publisko atbalstu papildinošās privātās investīcijas (tai skaitā: granti, finanšu instrumenti) – 522 495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izveidota, licencēta un akreditēta viena maģistra studiju programma ar specializāciju kiberdrošības un mākslīgā intelekta tehnoloģiju izmantošanā;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unikālo personu skaits, kuras līdz 2029.gada 30.novembrim ir ieguvušas maģistra grādu šo noteikumu </w:t>
      </w:r>
      <w:r w:rsidR="00000000" w:rsidRPr="00000000" w:rsidDel="00000000">
        <w:rPr>
          <w:rtl w:val="0"/>
        </w:rPr>
        <w:t xml:space="preserve">7.2.1.</w:t>
      </w:r>
      <w:r w:rsidR="00000000" w:rsidRPr="00000000" w:rsidDel="00000000">
        <w:rPr>
          <w:rtl w:val="0"/>
        </w:rPr>
        <w:t xml:space="preserve"> apakšpunktā minētajā maģistra studiju programmā – 40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akadēmiskais personāls, kas ir pilnveidojis kompetences un kvalifikāciju kiberdrošības un mākslīgā intelekta tehnoloģiju jomā – vismaz 12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profesūras tenūras amata vietas kiberdrošības un mākslīgā intelekta tehnoloģiju jomā, kuru darbību zinātnes universitātes nodrošina vismaz sešus gadus no izveidošanas dienas - 4;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tenūras profesoriem piesaistīto doktorantu skaits – 12 doktoranti;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izstrādātas profesionālās kvalifikācijas prasības atbilstošas profesionālās kvalifikācijas iegūšanai kiberdrošības un mākslīgā intelekta tehnoloģiju jomā - 1.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pirmās kārtas ietvaros finansējuma saņēmējs un sadarbības partneris uzkrāj šādus RIS3 rādītājus RIS3 jomā “Informācijas un komunikācijas tehnoloģijas”: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un attīstības (turpmāk – P&amp;A) izdevumu apjoms – publiskais finansējums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iekšējais P&amp;A personāls (skaits):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iekšējais P&amp;A personāls (pilna laika ekvivalents):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piesaistītais ārvalstu finansējums (euro) (no starptautiskām pētniecības programmām vai no ārvalstu partneriem) pētniecībai;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publikācijas WoS un SCOPUS (skaits).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pirmo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pirmās kārtas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pirmās kārtas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pirmās kārtas ietvaros tiek atbalstīts ar saimniecisku darbību nesaistīts projekts. Ja īstenojot ar saimniecisku darbību nesaistītu projektu, tiek secināts, ka tas ir ar saimniecisku darbību saistīts projekts un atbalsts tam kvalificējas kā komercdarbības atbalsts, projekta iesniedzējam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projekta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pirmās kārtas ietvaros ir zinātnes universitāte - Latvijas Universitāte, kas pēc tam, kad ir apstiprināts projekta iesniegums,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projekta īstenošanā iesaista sadarbības partneri, zinātnes universitāti  - Rīgas Tehnisko universitāti.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  pievienojot: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šo noteikumu </w:t>
      </w:r>
      <w:r w:rsidR="00000000" w:rsidRPr="00000000" w:rsidDel="00000000">
        <w:rPr>
          <w:rtl w:val="0"/>
        </w:rPr>
        <w:t xml:space="preserve">14.</w:t>
      </w:r>
      <w:r w:rsidR="00000000" w:rsidRPr="00000000" w:rsidDel="00000000">
        <w:rPr>
          <w:rtl w:val="0"/>
        </w:rPr>
        <w:t xml:space="preserve">punktā  norādīto sadarbības partneri parakstītu nodomu protokolu par sadarbību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 un sadarbības partnera akadēmiskā personāla profesionālās kompetences un kvalifikācijas pilnveides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profesūras tenūras amata vietu kiberdrošības un mākslīgā intelekta tehnoloģiju jomā izveides plānu projekta iesniedzēja un sadarbības partnera zinātnes universitātē;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Izglītības un zinātnes ministriju saskaņotu finansējuma saņēmēja un sadarbības partnera kopīgās maģistra studiju programmas izstrādes, licencēšanas, akreditācijas un īstenošanas plānu.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piedāvājuma izveides un īstenošanas kārtību organizāciju un uzņēmumu nodarbinātajiem un mācību dalībnieku iesaistes risinājumu;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iekšējo vadības un kontroles sistēmu, lai nodrošinātu sekmīgu projekta īstenošanu, mērķu sasniegšanu un projektam piešķirto līdzekļu lietderīgu un efektīvu izlietošanu, tai skaitā nodalot funkcijas, kuras finansējuma saņēmējs un sadarbības partneris pilda projekta īstenošanā, no iestādes pamatfunkcijām un aprakstot, kādas darbības un uzraudzības instrumenti ir plānoti vai ieviesti projekta iesniedzēja iestādē šādos procesos: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finansējuma saņēmēja un sadarbības partnera grāmatvedības uzskaitē un finanšu pārskatu ticamības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projekta iesnieguma apstiprināšanas finansējuma saņēmējs ar sadarbības partneri slēdz sadarbības līgumu atbilstoši normatīvajiem aktiem par kārtību, kādā Eiropas Savienības fondu vadībā iesaistītās institūcijas nodrošina Eiropas Savienības fondu ieviešanu 2021.–2027. gada plānošanas periodā un iekļauj arī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pienākumu un atbildības sadali projekta mērķu un rezultātu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19.</w:t>
      </w:r>
      <w:r w:rsidR="00000000" w:rsidRPr="00000000" w:rsidDel="00000000">
        <w:rPr>
          <w:rtl w:val="0"/>
        </w:rPr>
        <w:t xml:space="preserve">punktā minēto atbalstāmo darbību īstenošanai un attiecināmo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par tiesību uz projekta rezultātiem (tai skaitā intelektuālā īpašuma tiesību) sadalījumu proporcionāli finansējuma saņēmēja un sadarbības partnera ieguldījumam projekta īstenošanā atbilstoši Eiropas Komisijas 2014. gada 21. marta Regulai Nr. 316/2014 par Līguma par Eiropas Savienības darbību 101.panta 3.punkta piemērošanu tehnoloģiju nodošanas nolīgumu kategorijām;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par ar projekta īstenošanu saistīto tiesību un saistību nenodošanu citai personai, izņemot gadījumu, ja sadarbības partnera tiesības un saistības tiek nodotas finansējuma saņēmējam un otrādi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pienākumu uzkrāt šo noteikumu </w:t>
      </w:r>
      <w:r w:rsidR="00000000" w:rsidRPr="00000000" w:rsidDel="00000000">
        <w:rPr>
          <w:rtl w:val="0"/>
        </w:rPr>
        <w:t xml:space="preserve">44.</w:t>
      </w:r>
      <w:r w:rsidR="00000000" w:rsidRPr="00000000" w:rsidDel="00000000">
        <w:rPr>
          <w:rtl w:val="0"/>
        </w:rPr>
        <w:t xml:space="preserve">punktā minētos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partnera dokumentu, pārskatu un citas informācijas aprites un glabāšanas kārtību un termiņus.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partnera īstenotajām funkcijām projektā, tai skaitā novēršot dubultā finansējuma risku.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pirmās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specializētas kopīgas maģistra studiju programmas izstrāde, tai skaitā moduļu satura lietošanas tiesību iegāde (ja attiecināms), aprobācija, akreditācija un īstenošana kiberdrošības un mākslīgā intelekta tehnoloģiju izmantošanas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akadēmiskā personāla profesionālās kompetences pilnveide kiberdrošības un mākslīgā intelekta tehnoloģiju izmantošanas jomā;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profesūras tenūras amata vietu kiberdrošības un mākslīgā intelekta tehnoloģiju izmantošanas jomā izveide un darbības nodrošināšana projekta iesniedzēja un sadarbības partnera zinātnes universitātē, tai skaitā, nodrošinot tenūras profesora zinātniskās grupas izveidi un 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doktorantu izglītības, pētniecības un attīstības aktivitāšu īstenošana pētniecības organizācijas ar saimniecisku darbību nesaistītas pamatdarbības ietvaros, lai attīstītu pētniecisko kapacitāti kiberdrošības un mākslīgā intelekta tehnoloģiju izmantošanas jomā finansējuma saņēmēja vai sadarbības partnera augstskolā vismaz 12 mēnešus projekta ietvaros, nepārsniedzot 50 procentus no pilnas darba slodzes;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zinātnes universitāšu un uzņēmumu efektīvas sadarbības platformas izveide būtiskāko kiberrisku un kiberapdraudējumu apzināšanai, to risināšanai nepieciešamo cilvēkresursu prasmju apzināšanai un uzlabošanai valsts izglītības sistēmas ietvaros, pētnieciskās kapacitātes attīstībai ar mērķi iegūt vairāk zināšanu un labāku izpratni, tostarp kopīgas pētniecības un izstrādes plānošanai un īstenošanai un pētniecības rezultātu izplatīšanai bez ekskluzivitātes un diskriminēšanas, tai skaitā izmantojot mācīšanu, brīvas piekļuves datubāzes, atklātas publikācijas vai atklātā pirmkoda programmatūru. Atbalstāmās darbības ietvaros nodrošina arī profesionālās kvalifikācijas prasību izstrādi un pilnveidošanu, lai nodrošinātu arī studiju programmas attīstību profesionālā maģistra grāda iegūšanai kiberdrošības un mākslīgā intelekta tehnoloģiju izmantošanas jomā;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studiju un pētniecības procesam atbilstošās mācību un testēšanas vides un informācijas un komunikāciju tehnoloģiju infrastruktūras izveide un uzturēšana kiberdrošības un mākslīgā intelekta tehnoloģiju izmantošanas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organizāciju un uzņēmumu nodarbināto zināšanu, kompetenču un prasmju novērtēšana, iegūto rezultātu analīze un konsultēšana piemērotāko mācību izvēlei;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studiju kursu, studiju moduļu un profesionālās pilnveides izglītības programmu apguve publisko iestāžu, organizāciju un uzņēmumu nodarbinātajiem, nodrošinot iespēju apgūt darba tirgus prasībām atbilstošas profesionālās zināšanas un prasmes kiberdrošības un mākslīgā intelekta tehnoloģiju izmantošanas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izplatīšanas un mērķkomunikācijas pasākumi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atbalsts horizontālā principa “Vienlīdzība, iekļaušana, nediskriminācija un pamattiesību ievērošana” darbību nodrošināšanai nepieciešamo pakalpojuma nodrošinājumam mērķa grupas personai ar invaliditāti  projekta atbalstāmo darbību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pirmās kārtas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projekta vadības personāla atlīdzības izmaksas (izņemot virsstundas) šo noteikumu </w:t>
      </w:r>
      <w:r w:rsidR="00000000" w:rsidRPr="00000000" w:rsidDel="00000000">
        <w:rPr>
          <w:rtl w:val="0"/>
        </w:rPr>
        <w:t xml:space="preserve">19.</w:t>
      </w:r>
      <w:r w:rsidR="00000000" w:rsidRPr="00000000" w:rsidDel="00000000">
        <w:rPr>
          <w:rtl w:val="0"/>
        </w:rPr>
        <w:t xml:space="preserve">punktā minēto darbību īstenošanai, kas nepārsniedz septiņus procentus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finansējuma saņēmēja un sadarbības partnera projekta īstenošanas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īres izmaksas finansējuma saņēmēja projekta vadības un īstenošanas personālam, tai skaitā aprīkojuma uzturēšanas un remonta izmaksas ne vairāk kā 3000 euro apmērā vienai darba vietai visā projekta īstenošanas laikā jaunradītām darba vietām vai, ja esošo darba vietu aprīkojums ir nolietojies un tiek norakstīts. Ja projekta vadības un īstenošanas personāls ir nodarbināts projektā normālu darba laiku, darba vietas aprīkojuma iegādes vai nomas izmaksas ir attiecināmas 100 procentu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pakalpojumu izmaksas (maksa par degvielu, maksa par sabiedriskā transporta izmantošanu) finansējuma saņēmēja projekta vadības un īstenošanas personālam šo noteikumu </w:t>
      </w:r>
      <w:r w:rsidR="00000000" w:rsidRPr="00000000" w:rsidDel="00000000">
        <w:rPr>
          <w:rtl w:val="0"/>
        </w:rPr>
        <w:t xml:space="preserve">19.</w:t>
      </w:r>
      <w:r w:rsidR="00000000" w:rsidRPr="00000000" w:rsidDel="00000000">
        <w:rPr>
          <w:rtl w:val="0"/>
        </w:rPr>
        <w:t xml:space="preserve">punktā minēto atbalstāmo darbību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transportlīdzekļu nomas vai transporta pakalpojumu, tai skaitā specializētā transporta, pirkšanas izmaksas finansējuma saņēmēja projekta īstenošanas un vadības personālam šo noteikumu </w:t>
      </w:r>
      <w:r w:rsidR="00000000" w:rsidRPr="00000000" w:rsidDel="00000000">
        <w:rPr>
          <w:rtl w:val="0"/>
        </w:rPr>
        <w:t xml:space="preserve">19.</w:t>
      </w:r>
      <w:r w:rsidR="00000000" w:rsidRPr="00000000" w:rsidDel="00000000">
        <w:rPr>
          <w:rtl w:val="0"/>
        </w:rPr>
        <w:t xml:space="preserve">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iekšzemes komandējumu un dienesta braucienu izmaksas finansējuma saņēmēja un sadarbības partnera projekta vadības un īstenošanas personālam šo noteikumu </w:t>
      </w:r>
      <w:r w:rsidR="00000000" w:rsidRPr="00000000" w:rsidDel="00000000">
        <w:rPr>
          <w:rtl w:val="0"/>
        </w:rPr>
        <w:t xml:space="preserve">19.</w:t>
      </w:r>
      <w:r w:rsidR="00000000" w:rsidRPr="00000000" w:rsidDel="00000000">
        <w:rPr>
          <w:rtl w:val="0"/>
        </w:rPr>
        <w:t xml:space="preserve">punktā minēto atbalstāmo darbību īstenošanai atbilstoši vadošās iestādes izstrādātajai metodikai "Vienas vienības izmaksu standarta likmes aprēķina un piemērošanas metodika iekšzemes komandējumu izmaksām darbības programmas "Izaugsme un nodarbinātība” īstenošanai"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ārvalstu komandējumu izmaksas finansējuma saņēmēja projekta vadītājam un finansējuma saņēmēja un sadarbības partnera projekta īstenošanas personālam atbilstoši normatīvajiem aktiem, kas nosaka kārtību, kādā atlīdzināmi ar komandējumiem saistītie izdevumi šo noteikumu </w:t>
      </w:r>
      <w:r w:rsidR="00000000" w:rsidRPr="00000000" w:rsidDel="00000000">
        <w:rPr>
          <w:rtl w:val="0"/>
        </w:rPr>
        <w:t xml:space="preserve">19.</w:t>
      </w:r>
      <w:r w:rsidR="00000000" w:rsidRPr="00000000" w:rsidDel="00000000">
        <w:rPr>
          <w:rtl w:val="0"/>
        </w:rPr>
        <w:t xml:space="preserve">punktā minēto atbalstāmo darbību īstenošanai, ja tās ir skaidri saistāmas ar projekta rezultāta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atlīdzība doktorantam par studiju vai zinātniski pētnieciskā darba veikšanu, ievērojot šo noteikumu </w:t>
      </w:r>
      <w:r w:rsidR="00000000" w:rsidRPr="00000000" w:rsidDel="00000000">
        <w:rPr>
          <w:rtl w:val="0"/>
        </w:rPr>
        <w:t xml:space="preserve">35.</w:t>
      </w:r>
      <w:r w:rsidR="00000000" w:rsidRPr="00000000" w:rsidDel="00000000">
        <w:rPr>
          <w:rtl w:val="0"/>
        </w:rPr>
        <w:t xml:space="preserve">punktā minētos nosacījumus. Attiecināmais atlīdzības izmaksu apmērs tiek noteikts, ievērojot, ka atlīdzība par pilnu darba slodzi nepārsniedz 2 600 euro mēnesī, ieskaitot darba devēja valsts sociālās apdrošināšanas obligātās iemaksas;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izmaksas doktorantam šo noteikumu </w:t>
      </w:r>
      <w:r w:rsidR="00000000" w:rsidRPr="00000000" w:rsidDel="00000000">
        <w:rPr>
          <w:rtl w:val="0"/>
        </w:rPr>
        <w:t xml:space="preserve">19.4.</w:t>
      </w:r>
      <w:r w:rsidR="00000000" w:rsidRPr="00000000" w:rsidDel="00000000">
        <w:rPr>
          <w:rtl w:val="0"/>
        </w:rPr>
        <w:t xml:space="preserve">apakšpunktā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atlīdzības izmaksas projektā iesaistītajiem tenūras profesoriem atbilstoši zinātnes universitātes atlīdzības politikā noteiktajiem atlīdzības nosacījumiem tenūras profesoru atlīdzībai, nodrošinot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apakšpunktā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tenūras profesora zinātniskās grupas izveides un darbības nodrošināšanas izmaksas, nodrošinot šo noteikumu </w:t>
      </w:r>
      <w:r w:rsidR="00000000" w:rsidRPr="00000000" w:rsidDel="00000000">
        <w:rPr>
          <w:rtl w:val="0"/>
        </w:rPr>
        <w:t xml:space="preserve">19.3.</w:t>
      </w:r>
      <w:r w:rsidR="00000000" w:rsidRPr="00000000" w:rsidDel="00000000">
        <w:rPr>
          <w:rtl w:val="0"/>
        </w:rPr>
        <w:t xml:space="preserve">apakšpunktā noteiktās atbalstāmās darbības īstenošanu. Šīs izmaksas projekta iesniegumā plāno kā vienu attiecināmo izmaksu pozīciju, kuras apmēru aprēķina 40 procentu apjomā no šo noteikumu </w:t>
      </w:r>
      <w:r w:rsidR="00000000" w:rsidRPr="00000000" w:rsidDel="00000000">
        <w:rPr>
          <w:rtl w:val="0"/>
        </w:rPr>
        <w:t xml:space="preserve">21.10.</w:t>
      </w:r>
      <w:r w:rsidR="00000000" w:rsidRPr="00000000" w:rsidDel="00000000">
        <w:rPr>
          <w:rtl w:val="0"/>
        </w:rPr>
        <w:t xml:space="preserve">apakšpunktā norādītajām tenūras profesora atlīdzības izmaksām un kuras ietver visas </w:t>
      </w:r>
      <w:r w:rsidR="00000000" w:rsidRPr="00000000" w:rsidDel="00000000">
        <w:rPr>
          <w:rtl w:val="0"/>
        </w:rPr>
        <w:t xml:space="preserve">Ministru kabineta 2006.gada 12.decembra noteikumu Nr.994 “Kārtība, kādā augstskolas un koledžas tiek finansētas no valsts budžeta līdzekļiem” 20</w:t>
      </w:r>
      <w:r w:rsidR="00000000" w:rsidRPr="00000000" w:rsidDel="00000000">
        <w:rPr>
          <w:vertAlign w:val="superscript"/>
          <w:rtl w:val="0"/>
        </w:rPr>
        <w:t xml:space="preserve">2</w:t>
      </w:r>
      <w:r w:rsidR="00000000" w:rsidRPr="00000000" w:rsidDel="00000000">
        <w:rPr>
          <w:rtl w:val="0"/>
        </w:rPr>
        <w:t xml:space="preserve">.1.2., 20</w:t>
      </w:r>
      <w:r w:rsidR="00000000" w:rsidRPr="00000000" w:rsidDel="00000000">
        <w:rPr>
          <w:vertAlign w:val="superscript"/>
          <w:rtl w:val="0"/>
        </w:rPr>
        <w:t xml:space="preserve">2</w:t>
      </w:r>
      <w:r w:rsidR="00000000" w:rsidRPr="00000000" w:rsidDel="00000000">
        <w:rPr>
          <w:rtl w:val="0"/>
        </w:rPr>
        <w:t xml:space="preserve">.1.3., 20</w:t>
      </w:r>
      <w:r w:rsidR="00000000" w:rsidRPr="00000000" w:rsidDel="00000000">
        <w:rPr>
          <w:vertAlign w:val="superscript"/>
          <w:rtl w:val="0"/>
        </w:rPr>
        <w:t xml:space="preserve">2</w:t>
      </w:r>
      <w:r w:rsidR="00000000" w:rsidRPr="00000000" w:rsidDel="00000000">
        <w:rPr>
          <w:rtl w:val="0"/>
        </w:rPr>
        <w:t xml:space="preserve">.1.4., 20</w:t>
      </w:r>
      <w:r w:rsidR="00000000" w:rsidRPr="00000000" w:rsidDel="00000000">
        <w:rPr>
          <w:vertAlign w:val="superscript"/>
          <w:rtl w:val="0"/>
        </w:rPr>
        <w:t xml:space="preserve">2</w:t>
      </w:r>
      <w:r w:rsidR="00000000" w:rsidRPr="00000000" w:rsidDel="00000000">
        <w:rPr>
          <w:rtl w:val="0"/>
        </w:rPr>
        <w:t xml:space="preserve">.1.5., 20</w:t>
      </w:r>
      <w:r w:rsidR="00000000" w:rsidRPr="00000000" w:rsidDel="00000000">
        <w:rPr>
          <w:vertAlign w:val="superscript"/>
          <w:rtl w:val="0"/>
        </w:rPr>
        <w:t xml:space="preserve">2</w:t>
      </w:r>
      <w:r w:rsidR="00000000" w:rsidRPr="00000000" w:rsidDel="00000000">
        <w:rPr>
          <w:rtl w:val="0"/>
        </w:rPr>
        <w:t xml:space="preserve">.1.6. un 20</w:t>
      </w:r>
      <w:r w:rsidR="00000000" w:rsidRPr="00000000" w:rsidDel="00000000">
        <w:rPr>
          <w:vertAlign w:val="superscript"/>
          <w:rtl w:val="0"/>
        </w:rPr>
        <w:t xml:space="preserve">2</w:t>
      </w:r>
      <w:r w:rsidR="00000000" w:rsidRPr="00000000" w:rsidDel="00000000">
        <w:rPr>
          <w:rtl w:val="0"/>
        </w:rPr>
        <w:t xml:space="preserve">.2.apakšpunktā </w:t>
      </w:r>
      <w:r w:rsidR="00000000" w:rsidRPr="00000000" w:rsidDel="00000000">
        <w:rPr>
          <w:rtl w:val="0"/>
        </w:rPr>
        <w:t xml:space="preserve"> norādītās izmaksu pozīcijas, izņemot tenūras profesora zinātniskajā grupā iesaistīto doktorantu atlīdzības un pētniecības izmaksas, kas tiek segtas no pasākuma pirmās kārtas projekta līdzekļiem atbilstoši šo noteikumu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studiju, testēšanas un pētniecības vides un informācijas un komunikāciju tehnoloģiju infrastruktūras izveides, iegādes un uzturēšanas izmaksas, t.sk. datu bāzu abonēšanas un studiju procesam nepieciešamās literatūras iegādes izmaksas, kas finansējuma saņēmējam un sadarbības partnerim kopā nepārsniedz 600 000 euro;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saņēmēja un sadarbības partnera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ar semināru, diskusiju, konferenču un mācību organizēšanu un īstenošanu tai skaitā izdales materiālu sagatavošanu saistītas izmaksas finansējuma saņēmējam un sadarbības partnerim;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preču un pakalpojumu izmaksas šo noteikumu </w:t>
      </w:r>
      <w:r w:rsidR="00000000" w:rsidRPr="00000000" w:rsidDel="00000000">
        <w:rPr>
          <w:rtl w:val="0"/>
        </w:rPr>
        <w:t xml:space="preserve">19.</w:t>
      </w:r>
      <w:r w:rsidR="00000000" w:rsidRPr="00000000" w:rsidDel="00000000">
        <w:rPr>
          <w:rtl w:val="0"/>
        </w:rPr>
        <w:t xml:space="preserve">punktā minēto atbalstāmo darbību īstenošanai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Personālam, kura iesaiste projektā ir nodrošināta saskaņā ar daļlaika attiecināmības principu, attiecināma ir ne mazāka kā 30 procentu noslodze un šo noteikumu </w:t>
      </w:r>
      <w:r w:rsidR="00000000" w:rsidRPr="00000000" w:rsidDel="00000000">
        <w:rPr>
          <w:rtl w:val="0"/>
        </w:rPr>
        <w:t xml:space="preserve">21.3.</w:t>
      </w:r>
      <w:r w:rsidR="00000000" w:rsidRPr="00000000" w:rsidDel="00000000">
        <w:rPr>
          <w:rtl w:val="0"/>
        </w:rPr>
        <w:t xml:space="preserve">apakšpunktā norādītās izmaksas ir attiecināmas, ņemot vērā attiecīgā darba laika proporciju. Darba vietas aprīkojuma attiecināmās izmaksas nosakāmas proporcionāli darba laika procentuālajam sadalījumam atbilstoši darbinieka iesaistes periodam projektā pret projekta kopējo īstenošanas ilgumu, ņemot vērā noteikto darbinieka darba laika proporciju vai iepriekšējā mēnesī faktiski nostrādāto darba laiku brīdī, kad darbinieks saņem darba vietas aprīkojumu lietošanā.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Plānojot studiju vides aprīkojuma un infrastruktūras izveidi un iegādi šo noteikumu </w:t>
      </w:r>
      <w:r w:rsidR="00000000" w:rsidRPr="00000000" w:rsidDel="00000000">
        <w:rPr>
          <w:rtl w:val="0"/>
        </w:rPr>
        <w:t xml:space="preserve">19.6.</w:t>
      </w:r>
      <w:r w:rsidR="00000000" w:rsidRPr="00000000" w:rsidDel="00000000">
        <w:rPr>
          <w:rtl w:val="0"/>
        </w:rPr>
        <w:t xml:space="preserve">apakšpunktā minētās atbalstāmās darbības ietvaros, projekta iesniegumā pamato jaunas pētniecības infrastruktūras iegādes nepieciešamību un tās papildinātību ar finansējuma saņēmēja un sadarbības partnera rīcībā esošo studiju un pētniecības materiāltehnisko bāzi.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netiešās attiecināmās izmaksas šo noteikumu </w:t>
      </w:r>
      <w:r w:rsidR="00000000" w:rsidRPr="00000000" w:rsidDel="00000000">
        <w:rPr>
          <w:rtl w:val="0"/>
        </w:rPr>
        <w:t xml:space="preserve">19.</w:t>
      </w:r>
      <w:r w:rsidR="00000000" w:rsidRPr="00000000" w:rsidDel="00000000">
        <w:rPr>
          <w:rtl w:val="0"/>
        </w:rPr>
        <w:t xml:space="preserve">punktā minēto darbību veikšanai. Tās plāno kā vienu izmaksu pozīciju, piemērojot netiešo izmaksu vienoto likmi 15 procentu apmērā no šo noteikumu </w:t>
      </w:r>
      <w:r w:rsidR="00000000" w:rsidRPr="00000000" w:rsidDel="00000000">
        <w:rPr>
          <w:rtl w:val="0"/>
        </w:rPr>
        <w:t xml:space="preserve">21.1.</w:t>
      </w:r>
      <w:r w:rsidR="00000000" w:rsidRPr="00000000" w:rsidDel="00000000">
        <w:rPr>
          <w:rtl w:val="0"/>
        </w:rPr>
        <w:t xml:space="preserve"> un </w:t>
      </w:r>
      <w:r w:rsidR="00000000" w:rsidRPr="00000000" w:rsidDel="00000000">
        <w:rPr>
          <w:rtl w:val="0"/>
        </w:rPr>
        <w:t xml:space="preserve">21.2.</w:t>
      </w:r>
      <w:r w:rsidR="00000000" w:rsidRPr="00000000" w:rsidDel="00000000">
        <w:rPr>
          <w:rtl w:val="0"/>
        </w:rPr>
        <w:t xml:space="preserve">apakšpunktā minētajām tiešajām attiecināmajām personāla izmaksām. Netiešo izmaksu vienoto likmi piemēro personāla izmaksām, kuras radušās uz darba līguma pamata.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Ar saimniecisku darbību nesaistīta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pirmās kārtas ietvaros finansējuma saņēmējs un sadarbības partneris īsteno ar saimniecisku darbību nesaistītu projektu, kura darbības atbilst šādiem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īstenoti izglītības pasākumi, lai panāktu personāla skaita un kvalifikācijas paaugstināšanos, ievērojot to, ka publiskā izglītība, kas tiek nodrošināta valsts izglītības sistēmas ietvaros un kas galvenokārt vai pilnībā ir valsts finansēta un uzraudzīta, nav saistīta ar saimniecisku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īstenota neatkarīga pētniecība un rezultātu izstrāde, lai gūtu vairāk zināšanu un labāku izpratni;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veikta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un sadarbības partneris nodrošina, ka ieņēmumi no maksas par studiju kursu, studiju moduļu un profesionālās pilnveides programmu īstenošanu publisko iestāžu, organizāciju un uzņēmumu nodarbinātajiem nepārsniedz 50 procentus no kopējiem izdevumiem šo studiju kursu, studiju moduļu un profesionālās pilnveides programmu sagatavošanai un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 Lai šo noteikumu </w:t>
      </w:r>
      <w:r w:rsidR="00000000" w:rsidRPr="00000000" w:rsidDel="00000000">
        <w:rPr>
          <w:rtl w:val="0"/>
        </w:rPr>
        <w:t xml:space="preserve">19.6.</w:t>
      </w:r>
      <w:r w:rsidR="00000000" w:rsidRPr="00000000" w:rsidDel="00000000">
        <w:rPr>
          <w:rtl w:val="0"/>
        </w:rPr>
        <w:t xml:space="preserve">apakšpunktā noteiktās atbalstāmās darbības ietvaros izveidotais un iegādātais studiju un pētniecības aprīkojums un infrastruktūra, kuru paredzēts izmantot tikai ar saimniecisko darbību nesaistītai darbībai, netiktu kvalificēts kā komercdarbības atbalsts, šajā infrastruktūrā, kuru izmanto finansējuma saņēmēja un sadarbības partnera vajadzībām, pamatlīdzekļu un ilgtermiņa ieguldījumu amortizācijas periodā ir pieļaujams veikt papildinošu saimniecisko darbību ne vairāk kā 20 procentu apmērā no infrastruktūras gada jaudas,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 Sadarbības iestāde saskaņā ar atbildīgās iestādes izstrādāto papildinošas saimnieciskās darbības uzraudzības metodiku nodrošina veikto investīciju atbilstības uzraudzību visā projekta dzīves ciklā saskaņā ar šo noteikumu </w:t>
      </w:r>
      <w:r w:rsidR="00000000" w:rsidRPr="00000000" w:rsidDel="00000000">
        <w:rPr>
          <w:rtl w:val="0"/>
        </w:rPr>
        <w:t xml:space="preserve">27.</w:t>
      </w:r>
      <w:r w:rsidR="00000000" w:rsidRPr="00000000" w:rsidDel="00000000">
        <w:rPr>
          <w:rtl w:val="0"/>
        </w:rPr>
        <w:t xml:space="preserve">punkta nosacījumiem. Finansējuma saņēmējs un sadarbības partneri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vai sadarbības partneris konstatē, ka ir pārsniegts šo noteikumu </w:t>
      </w:r>
      <w:r w:rsidR="00000000" w:rsidRPr="00000000" w:rsidDel="00000000">
        <w:rPr>
          <w:rtl w:val="0"/>
        </w:rPr>
        <w:t xml:space="preserve">27.</w:t>
      </w:r>
      <w:r w:rsidR="00000000" w:rsidRPr="00000000" w:rsidDel="00000000">
        <w:rPr>
          <w:rtl w:val="0"/>
        </w:rPr>
        <w:t xml:space="preserve">punktā minētais 20 procentu ierobežojums no infrastruktūras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nosacījumu pārkāpumu. Šādā gadījumā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un sadarbības partneris projekta īstenošanas laikā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 Projektu īsteno saskaņā ar noslēgto vienošanos par projekta īstenošanu, bet ne ilgāk kā līdz 2029.gada 30.novembrim.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finansējuma saņēmējam un sadarbības partnerim izmaksas ir attiecināmas, ja tās atbilst šajos noteikumos minētajām izmaksu pozīcijām un ir radušās ne agrāk kā dienā, kad ir apstiprināti noteikumi par pasākuma pirmās kārtas īstenošanu un ir paredzētas apstiprinātā projekta iesniegumā.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"c" apakšpunktā ietvertajiem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un sadarbības partneris nodrošina, ka atklāts konkurss uz projektā paredzētajām profesūras tenūras amata vietām kiberdrošības un mākslīgā intelekta tehnoloģiju jomā un projektā iesaistīto doktorantu atlase tiek uzsākta pirmajā ceturksnī pēc tam, kad noslēgta  vienošanās par projekta īstenošanu. Maksājumu veikšanu atbalstāmo darbību un attiecināmo izdevumu ietvaros uzsāk pirmajā pusgadā pēc tam, kad noslēgta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19.4.</w:t>
      </w:r>
      <w:r w:rsidR="00000000" w:rsidRPr="00000000" w:rsidDel="00000000">
        <w:rPr>
          <w:rtl w:val="0"/>
        </w:rPr>
        <w:t xml:space="preserve">apakšpunktā minētās darbības īstenošanai finansējuma saņēmējs un sadarbības partneris izsludina atklātu doktorantu atlasi un organizē to atbilstoši konkursa nolikumam, kas saskaņots zinātnes universitātes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partneris nodrošina, ka īstenojot šo noteikumu </w:t>
      </w:r>
      <w:r w:rsidR="00000000" w:rsidRPr="00000000" w:rsidDel="00000000">
        <w:rPr>
          <w:rtl w:val="0"/>
        </w:rPr>
        <w:t xml:space="preserve">19.4.</w:t>
      </w:r>
      <w:r w:rsidR="00000000" w:rsidRPr="00000000" w:rsidDel="00000000">
        <w:rPr>
          <w:rtl w:val="0"/>
        </w:rPr>
        <w:t xml:space="preserve">apakšpunktā minēto atbalstāmo darbību, doktorants ir iesaistīts arī citā ar promocijas darba tematiku saistītā pētniecības un attīstības darbā pie finansējuma saņēmēja vai sadarbības partnera vai ir nodarbināts citā ar doktorantūras studijām saistītā darbā, nodrošinot papildu darba slodzi vismaz 25 procentu apmērā no pilnas darba slodzes, ja doktorants ar papildu darba slodzi iekļaujas normālajā darba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partneris nodrošina, ka pasākuma pirmās kārtas projekta īstenošanā netiek iesaistīti doktoranti, kuri vienlaikus ir atbalsta saņēmēji Eiropas Savienības kohēzijas politikas programmas 2021.–2027. gadam 1.1.1. specifiskā atbalsta mērķa "Pētniecības un inovāciju kapacitātes stiprināšana un progresīvu tehnoloģiju ieviešana kopējā P&amp;A sistēmā" 1.1.1.8. pasākumā "Doktorantūras granti"  un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investīcijas projektos finansējuma saņēmēja un sadarbības partnera augstskolā.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un sadarbības partneris nodrošina dubultā finansējuma neiestāšanos un pasākuma ietvaros plānotā atbalsta nepārklāšanos ar citiem valsts un ārvalstu finanšu atbalsta instrumentiem.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un sadarbības partneris projekta īstenošanai nepieciešamo preču un pakalpojumu iegādi veic atklātā, pārredzamā, nediskriminējošā un konkurenci nodrošinošā procedūrā saskaņā ar publisko iepirkumu reglamentējošajiem normatīvajiem aktiem, izvērtējot iespējas īstenot sociāli atbildīgu publisko iepirkumu un inovatīvu publisko iepirkumu. Atbalstāma ir vides prasību un inovatīva risinājuma integrācija preču un pakalpojumu iepirkumos (zaļais publiskais iepirkums un inovāciju publiskais iepirkums).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un sadarbības partneris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un sadarbības partneris savā tīmekļvietnē ievieto informāciju par projekta īstenošanas gaitu, t.sk. sasniegtajiem rezultātiem un aktualizē to, tiklīdz pieejama jaunāka informācija, bet ne retāk kā reizi trijos mēnešos.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un sadarbības partneris nodrošina projekta īstenošanai nepieciešamo personu datu apstrādi saskaņā ar Eiropas Parlamenta un Padomes 2016.gada 27.aprīļa Regulas (ES) 2016/679 par fizisku personu aizsardzību attiecībā uz personas datu apstrādi un šādu datu brīvu apriti un ar ko atceļ Direktīvu 95/46/EK (Vispārīgā datu aizsardzības regula), 5.panta 1.punkta "a" apakšpunktu – likumīgā, godprātīgā un datu subjektam pārredzamā veidā.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un sadarbības partneris iegūst, apstrādā un uzkrāj Kohēzijas politikas fondu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komersantu, kurā nodarbināts mācībās iesaistītais darbinieks (nosaukums, reģistrācijas numurs, komersanta pārstāvētā nozare saskaņā ar NACE 2. redakciju, komersanta statuss);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mācībās iesaistīto publisko institūciju, organizāciju un komersantu darbinieku skaitu dalījumā pēc dzimuma un vecuma (vārds, uzvārds, personas kods, mācību nosaukums, mācību sākuma un beigu datums, darbinieka amats);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šo noteikumu </w:t>
      </w:r>
      <w:r w:rsidR="00000000" w:rsidRPr="00000000" w:rsidDel="00000000">
        <w:rPr>
          <w:rtl w:val="0"/>
        </w:rPr>
        <w:t xml:space="preserve">7.2.</w:t>
      </w:r>
      <w:r w:rsidR="00000000" w:rsidRPr="00000000" w:rsidDel="00000000">
        <w:rPr>
          <w:rtl w:val="0"/>
        </w:rPr>
        <w:t xml:space="preserve">apakšpunktā un </w:t>
      </w:r>
      <w:r w:rsidR="00000000" w:rsidRPr="00000000" w:rsidDel="00000000">
        <w:rPr>
          <w:rtl w:val="0"/>
        </w:rPr>
        <w:t xml:space="preserve">8.</w:t>
      </w:r>
      <w:r w:rsidR="00000000" w:rsidRPr="00000000" w:rsidDel="00000000">
        <w:rPr>
          <w:rtl w:val="0"/>
        </w:rPr>
        <w:t xml:space="preserve">punktā minētajiem rādītājiem, kurus iesniedz arī atbildīgajā iestādē pēc tās pieprasījuma;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projekta ietekmi uz horizontālā principa "Vienlīdzība, iekļaušana, nediskriminācija un pamattiesību ievērošana" rādītājiem – “Mediju kampaņu, semināru, konferenču  un komunikācijas pasākumu skaits, kuros  sabiedrības informēšanai tika nodrošināti cilvēkiem ar dažāda veida funkcionāliem traucējumiem piekļūstami formāti” un "Sieviešu skaits atbalsta saņēmēju vidū".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nodrošina: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finanšu plūsmas nodalīšanu no citām finansējuma saņēmēja un sadarbības partnera darbības finanšu plūsmām projekta īstenošanas laikā un piecus gadus pēc noslēguma maksājuma veikšanas;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ar saimniecisko darbību nesaistīto darījumu ieņēmumu un izdevumu grāmatvedības uzskaiti, kā arī minēto darījumu finanšu plūsmu nodalīšanu atbilstoši normatīvajiem aktiem par gada pārskata sagatavošanas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saņēmējam un sadarbības partnerim ir pienākums iegūt un uzkrāt mācībās iesaistīto iestāžu, organizāciju un komersantu nodarbināto sniegto novērtējumu apkopojumu par mācībās iegūto prasmju un zināšanu ietekmi.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saskaņā ar vienošanos par projekta īstenošanu finansējuma saņēmējam ir paredzēts avanss, to var izmaksāt pa daļām. Viens avansa maksājums nepārsniedz 30 procentus no projektam piešķirtā ERAF finansējuma un valsts budžeta līdzfinansējuma kopsummas. Finansējuma saņēmējam avansa un starpposma maksājumu kopsumma var būt 100 procenti no projektam piešķirtā ERAF finansējuma un valsts budžeta līdzfinansējuma kopsummas. Sadarbības iestāde var pieņemt lēmumu par nākamā avansa piešķiršanu pēc tam, kad iepriekšējais avansa maksājums ir apgūts pilnā apmērā.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projekta īstenošanas gaitā rodas izmaksu sadārdzinājums, finansējuma saņēmējs un sadarbības partneris to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un  sadarbības partneris projekta īstenošanas laikā nodrošina interešu konflikta neesību saskaņā ar Eiropas Parlamenta un Padomes 2024.gada 23.septembra Regulas (ES, Euratom) 2024/2509 par finanšu noteikumiem, ko piemēro Savienības vispārējam budžetam (pārstrādāta redakcija), 61.panta prasībām un publisko iepirkumu reglamentējošajiem normatīvajiem aktiem, kā arī paraksta interešu konflikta neesības apliecinājumu.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Projekta īstenošanas uzraudzībai saskaņā ar Eiropas Savienības fondu 2021.–2027. gada plānošanas perioda vadības likumu, tai skaitā finansējuma saņēmēja iesniegto projekta īstenošanas gaitas pārskatu izvērtēšanai, sasniegto iznākuma un rezultātu rādītāju izpildes progresa novērtējumam, projekta ieviešanas problēmu un risku identificēšanai un konstatēto risku un problēmu novēršanai, kā arī projekta īstenošanas nosacījumu pilnveidei atbildīgā iestāde pēc nepieciešamības, bet ne retāk kā reizi divos mēnešos organizē atbildīgās iestādes, finansējuma saņēmēja un sadarbības partnera starpinstitūciju sanāksmes par projekta ieviešanas progresu un citiem ar projekta īstenošanu un uzraudzību saistītiem jautājumiem.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un sadarbības partneris nodrošina projekta ietvaros izveidoto tenūras profesoru amatu darbību attiecīgajā zinātnes universitātē visā projekta dzīves ciklā.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25-TA-274</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25-TA-274</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noteikumu_projekts_25-TA-274.docx</dc:title>
</cp:coreProperties>
</file>

<file path=docProps/custom.xml><?xml version="1.0" encoding="utf-8"?>
<Properties xmlns="http://schemas.openxmlformats.org/officeDocument/2006/custom-properties" xmlns:vt="http://schemas.openxmlformats.org/officeDocument/2006/docPropsVTypes"/>
</file>