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aprīlī (prot. Nr. 16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12. aprīļa noteikumos Nr. 226 "Noteikumi par akcelerācijas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12. aprīļa noteikumos Nr. 226 "Noteikumi par akcelerācijas fondiem saimnieciskās darbības veicēju izveides, attīstības un konkurētspējas veicināšanai" (Latvijas Vēstnesis, 2016, 82. nr.; 2018, 7., 90. nr.; 2020, 175. nr.; 2021, 125. nr.; 2022, 49., 121. nr.;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Sēklasnaudas ieguldījumiem pēc 2023. gada 31. decembra izmantojams šo noteikumu 4.2. apakšpunktā minētais finansējums, izņemot gadījumu, ja ir izveidots darījuma konts atbilstoši Komisijas regulas Nr. 1303/2013 2. panta 26. punktam tādu līdzekļu turēšanai, kuri pēc atbilstības perioda beigām izmaksājami mērķiem, kas paredzēti Komisijas regulas Nr. 1303/2013 42. panta 3.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šo noteikumu 42.</w:t>
      </w:r>
      <w:r w:rsidR="00000000" w:rsidRPr="00000000" w:rsidDel="00000000">
        <w:rPr>
          <w:vertAlign w:val="superscript"/>
          <w:rtl w:val="0"/>
        </w:rPr>
        <w:t xml:space="preserve">1</w:t>
      </w:r>
      <w:r w:rsidR="00000000" w:rsidRPr="00000000" w:rsidDel="00000000">
        <w:rPr>
          <w:rtl w:val="0"/>
        </w:rPr>
        <w:t xml:space="preserve"> punktā minētajā gadījumā –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1. panta 1. punktā noteiktajām nozarēm un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saimnieciskās darbības veicējs darbojas kādā no Komisijas regulas Nr. 2023/2831 1. panta 1. punkta "a", "b", "c" vai "d" apakšpunktā vai Komisijas regulas Nr. 651/2014 1. panta 3. punkta "a", "b" vai "c" apakšpunktā minētajās neatbalstāmajās nozarēs, atbalstu drīkst piešķirt tikai tad, ja tiek skaidri nodalītas darbības un finanšu plūsmas atbalstāmās nozarēs, nodrošinot, ka darbības izslēgtajās nozarēs negūst labumu no pasākuma ietvaros piešķirtā atbalsta."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 attiecībā uz Komisijas regulas Nr. 651/2014 21. panta 18. punkta "a" apakšpunktu jāizpilda nosacījumi, kas paredzēti Komisijas regulā Nr. 2013/2831. Pirms </w:t>
      </w:r>
      <w:r w:rsidR="00000000" w:rsidRPr="00000000" w:rsidDel="00000000">
        <w:rPr>
          <w:i w:val="1"/>
          <w:rtl w:val="0"/>
        </w:rPr>
        <w:t xml:space="preserve">de minimis</w:t>
      </w:r>
      <w:r w:rsidR="00000000" w:rsidRPr="00000000" w:rsidDel="00000000">
        <w:rPr>
          <w:rtl w:val="0"/>
        </w:rPr>
        <w:t xml:space="preserve"> atbalsta piešķiršanas vienam vienotam uzņēmumam finanšu starpnieks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2021/2831 3. panta 2. punktā noteikto </w:t>
      </w:r>
      <w:r w:rsidR="00000000" w:rsidRPr="00000000" w:rsidDel="00000000">
        <w:rPr>
          <w:i w:val="1"/>
          <w:rtl w:val="0"/>
        </w:rPr>
        <w:t xml:space="preserve">de minimis </w:t>
      </w:r>
      <w:r w:rsidR="00000000" w:rsidRPr="00000000" w:rsidDel="00000000">
        <w:rPr>
          <w:rtl w:val="0"/>
        </w:rPr>
        <w:t xml:space="preserve">atbalsta maksimālo apmēru, kā arī ievērojot Komisijas regulas Nr. 2023/2831 3. panta 8. punkta nosacījumus uzņēmumu apvienošanās vai iegādes gadījumā un Komisijas regulas Nr. 2013/2831 3.panta 9. punkta nosacījumus uzņēmuma sadalīšanas gadījumā. Šo noteikumu izpratnē viens vienots uzņēmums ir uzņēmums, kas atbilst Komisijas regulas Nr. 2023/2831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tiek pārkāptas Komisijas regulas Nr. 651/2014 vai Komisijas regulas Nr. 2023/2831 prasības, atbalsta saņēmējam ir pienākums atmaksāt atbalsta sniedzējam projekta ietvaros saņemto nelikumīgo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24-TA-146</w:t>
    </w:r>
    <w:r>
      <w:br/>
    </w:r>
    <w:r w:rsidR="00000000" w:rsidRPr="00000000" w:rsidDel="00000000">
      <w:rPr>
        <w:rtl w:val="0"/>
      </w:rPr>
      <w:t xml:space="preserve">Izdrukāts 30.07.2026. 00.03 - 2.0.VK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24-TA-146</w:t>
    </w:r>
    <w:r>
      <w:br/>
    </w:r>
    <w:r w:rsidR="00000000" w:rsidRPr="00000000" w:rsidDel="00000000">
      <w:rPr>
        <w:rtl w:val="0"/>
      </w:rPr>
      <w:t xml:space="preserve">Izdrukāts 30.07.2026. 00.03 - 2.0.VK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noteikumu_(grozījumu)_projekts_24-TA-146.docx</dc:title>
</cp:coreProperties>
</file>

<file path=docProps/custom.xml><?xml version="1.0" encoding="utf-8"?>
<Properties xmlns="http://schemas.openxmlformats.org/officeDocument/2006/custom-properties" xmlns:vt="http://schemas.openxmlformats.org/officeDocument/2006/docPropsVTypes"/>
</file>