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3. aprīļa noteikumos Nr. 233 "Finanšu sektora attīstības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22-TA-265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