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518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25. jūnijā (prot. Nr. 26 30.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pirmtiesību izmantošanu un bezmantinieka mantas – nekustamo īpašumu Rīgā – pārņemšanu valsts īpašumā un nodošanu Rīgas valstspilsētas pašvaldības īpašumā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Publiskas personas mantas atsavināšanas likuma 5. panta desmito daļu izmantot pirmtiesības un pārņemt valsts īpašumā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minētos par bezmantinieka mantu atzītos nekustamos īpašumus un nodot tos Rīgas valstspilsētas pašvaldības īpašumā.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Rīgas valstspilsētas pašvaldībai, ievērojot Publiskas personas mantas atsavināšanas likuma 5. panta desmito daļu, iemaksāt no pašvaldības budžeta finanšu līdzekļiem zvērināta tiesu izpildītāja depozīta kontā naudas līdzekļus nekustamo īpašumu novērtējumu apmērā.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Rīgas valstspilsētas pašvaldībai nekustamos īpašumus izmantot pašvaldības funkcijas īstenošanai saskaņā ar Pašvaldību likuma 4. panta pirmās daļas 10. punktu – palīdzības sniegšanai iedzīvotājiem mājokļa jautājumu risināšanā.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Bērziņa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24-TA-272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24-TA-272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rīkojuma_projekts_24-TA-272.docx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