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526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13. augustā (prot. Nr. 31 40.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2006. gada 19. decembra noteikumos Nr. 1022 "Noteikumi par ieslodzīto personu uztura un sadzīves vajadzību materiālā nodrošinājuma normām"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Apcietinājumā turēšanas kārtības likuma </w:t>
      </w:r>
      <w:r w:rsidR="00000000" w:rsidRPr="00000000" w:rsidDel="00000000">
        <w:rPr>
          <w:rStyle w:val="paragraph"/>
          <w:i w:val="1"/>
          <w:rtl w:val="0"/>
        </w:rPr>
        <w:t xml:space="preserve">19. panta pirmo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Latvijas Sodu izpildes kodeksa </w:t>
      </w:r>
      <w:r w:rsidR="00000000" w:rsidRPr="00000000" w:rsidDel="00000000">
        <w:rPr>
          <w:rStyle w:val="paragraph"/>
          <w:i w:val="1"/>
          <w:rtl w:val="0"/>
        </w:rPr>
        <w:t xml:space="preserve">77. panta septīto daļu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118. 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2006. gada 19. decembra noteikumos Nr. 1022 "Noteikumi par ieslodzīto personu uztura un sadzīves vajadzību materiālā nodrošinājuma normām" (Latvijas Vēstnesis, 2006, 204. nr.; 2009, 42., 107. nr.; 2010, 40., 96. nr.; 2011, 155. nr.; 2014, 42. nr.; 2022, 154.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informatīvo atsauci uz Eiropas Savienības direktīvām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"Informatīva atsauce uz Eiropas Savienības direktīvu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Noteikumos iekļautas tiesību normas, kas izriet no Eiropas Parlamenta un Padomes 2016. gada 11. maija Direktīvas (ES) 2016/800 par procesuālajām garantijām bērniem, kuri ir aizdomās turētie vai apsūdzētie kriminālprocesā."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24-TA-1308</w:t>
    </w:r>
    <w:r>
      <w:br/>
    </w:r>
    <w:r w:rsidR="00000000" w:rsidRPr="00000000" w:rsidDel="00000000">
      <w:rPr>
        <w:rtl w:val="0"/>
      </w:rPr>
      <w:t xml:space="preserve">Izdrukāts 29.07.2026. 21.39 - 1.0.VK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24-TA-1308</w:t>
    </w:r>
    <w:r>
      <w:br/>
    </w:r>
    <w:r w:rsidR="00000000" w:rsidRPr="00000000" w:rsidDel="00000000">
      <w:rPr>
        <w:rtl w:val="0"/>
      </w:rPr>
      <w:t xml:space="preserve">Izdrukāts 29.07.2026. 21.39 - 1.0.VK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