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Pabalsts mājsaimniecības inventāra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pabalstu mājsaimniecības inventāra iegādei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1089"/>
        <w:tblGridChange w:id="0">
          <w:tblGrid>
            <w:gridCol w:w="514"/>
            <w:gridCol w:w="7796"/>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Pabalsta apmērs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pārstāvniecības vadītājs, pilnvarotais lietvedis, ģenerālkonsuls, prokurors – Eirojusta pārstāvis, prokurors – Eirojusta pārstāvja vietnieks, augstāko virsnieku sastāva karavīrs, vecākais aizsardzības nozares padomnieks, valsts tiešās pārvaldes amatpersona, kuras amats atbilst 13. un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prokurors – Eirojusta pārstāvja palīgs, nozares padomnieks, konsulāta vadītājs, nodaļas vadītājs, informācijas sistēmu administrators, sakaru virsnieks, vecāko virsnieku un augstāko instruktoru sastāva karavīrs,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atašejs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otrais sekretārs, vicekonsuls, trešais sekretārs, atašejs, vecākais eksperts, nodaļas vadītāja vietnieks, speciālists, informācijas sistēmas uzturētājs, vecākais referents, jaunāko virsnieku un vecāko instruktoru sastāva karavīrs, mājas pārvaldnieks, loģistikas speciālists, valsts tiešās pārvaldes amatpersona, kuras amats atbilst 6., 7., 8., 9., 10. vai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jaunāko instruktoru sastāvu un kareivju sastāva karavīrs,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noteikumu_konsolidētā_versija_p3_25-TA-1770.docx</dc:title>
</cp:coreProperties>
</file>

<file path=docProps/custom.xml><?xml version="1.0" encoding="utf-8"?>
<Properties xmlns="http://schemas.openxmlformats.org/officeDocument/2006/custom-properties" xmlns:vt="http://schemas.openxmlformats.org/officeDocument/2006/docPropsVTypes"/>
</file>