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2024. gadā paveikto saistībā ar Eiropas Parlamenta un Eiropas Padomes 2019. gada 19. marta Regulas (ES) 2019/452, ar ko izveido regulējumu ārvalstu tiešo ieguldījumu Savienībā izvērtēšanai, īstenošanu un ārvalstu tiešo ieguldījumu izvērtēšanas mehānismu Latvijā"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25-TA-845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