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Zemesgrāmatu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Zemesgrāmatu likumā (Latvijas Republikas Augstākās Padomes un Valdības Ziņotājs, 1993, 14./15. nr.; Latvijas Republikas Saeimas un Ministru Kabineta Ziņotājs, 1997, 5. nr.; 1998, 23. nr.; 1999, 23. nr.; 2003, 9. nr.; 2004, 10. nr.; 2006, 6., 14. nr.; 2009, 10. nr.; Latvijas Vēstnesis, 2010, 206. nr.; 2011, 93. nr.; 2013, 188. nr.; 2014, 216., 228. nr.; 2016, 31., 230. nr.; 2018, 210., 220. nr.; 2019, 129. nr.; 2021, 121.B, 234.A nr.; 2024, 226. nr.)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41. panta otro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ieraksta zemesgrāmatā ēkas (būves) un jaunbūves, pamatojoties uz strukturētajiem datiem, kas saņemti no Kadastra informācijas sistēmas un Būvniecības informācijas sistēmas. Šajos gadījumos pamatojošos dokumentus, ko savas kompetences ietvaros ir izvērtējusi būvvalde un Valsts zemes dienests, pirms ēkas (būves) vai jaunbūves ierakstīšanas zemesgrāmatā tiesā atkārtoti nevērtē.".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58. 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"Sevišķa apliecināta pilnvara nav vajadzīga, ja pilnvarojums ir reģistrēts vai noformēts Būvniecības informācijas sistēmā un paziņojums tiek izskatīts šā likuma 41. panta otrās daļas 10. 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Nostiprinājuma lūgumam vai paziņojumam, kas saņemts no Kadastra informācijas sistēmas un Būvniecības informācijas sistēmas strukturētajiem datiem, datni no informācijas sistēmām pievieno rajona (pilsētas) tiesa.".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106.</w:t>
      </w:r>
      <w:r w:rsidR="00000000" w:rsidRPr="00000000" w:rsidDel="00000000">
        <w:rPr>
          <w:vertAlign w:val="superscript"/>
          <w:rtl w:val="0"/>
        </w:rPr>
        <w:t xml:space="preserve">1</w:t>
      </w:r>
      <w:r w:rsidR="00000000" w:rsidRPr="00000000" w:rsidDel="00000000">
        <w:rPr>
          <w:rtl w:val="0"/>
        </w:rPr>
        <w:t xml:space="preserve"> panta otro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daļā noteiktais nav attiecināms uz gadījumiem, ja paziņojums tiek izskatīts šā likuma 41. panta otrās daļas 10. punktā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"29.Ja ir ierosināta būvniecība un būvvalde to ir akceptējusi, izdarot atbilstošas atzīmes Būvniecības informācijas sistēmā un ēka (būve) nav pieņemta ekspluatācijā līdz 2025.gada 31.decembrim, ir piemērojami 41. panta otrās daļas 10. punkta noteikumi, ja būvniecības ierosinātājs ir izvēlējies piemērot vienoto būves reģistrācijas procesu Būvniecības likuma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25-TA-1444</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25-TA-1444</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likumprojekts_(grozījumi)_25-TA-1444.docx</dc:title>
</cp:coreProperties>
</file>

<file path=docProps/custom.xml><?xml version="1.0" encoding="utf-8"?>
<Properties xmlns="http://schemas.openxmlformats.org/officeDocument/2006/custom-properties" xmlns:vt="http://schemas.openxmlformats.org/officeDocument/2006/docPropsVTypes"/>
</file>