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4.1.1. specifiskā atbalsta mērķa "Nodrošināt vienlīdzīgu piekļuvi veselības aprūpei un stiprināt veselības sistēmu, tostarp primārās veselības aprūpes noturību" (turpmāk – specifiskais atbalsta mērķis) 4.1.1.4. pasākumu "Veselības aprūpes pārvaldības sistēmas stiprināšana un digitalizācija, attīstot digitālos risinājumus"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finansējuma saņēmējiem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projektu iesniegumu atlasi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atbalsta veids ir grants (dotācija).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 un plānotie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veicināt digitālu veselības nozares datu pieejamību veselības aprūpes un valsts pārvaldes pakalpojumu efektīvākai nodrošināšanai, attīstot valsts informācijas un komunikācijas tehnoloģiju risinājumus un pakalpojumus veselības nozarē.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visi Latvijas iedzīvotāji, veselības aprūpes pakalpojumu sniedzēji, Veselības ministrijas padotības iestādes, ārstniecības iestādes, atvasinātas publiskas personas (deleģēto pārvaldes uzdevumu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rezultāta rādītājs ir to personu skaits gadā, kas izmanto e-veselības pakalpojumus, nodrošinot, ka gada laikā pēc visu projektu pabeigšanas būs sasniegta rādītāja vērtība – 667 686 lietotāji gadā.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plānotais kopējais finansējums ir 20 663 615 </w:t>
      </w:r>
      <w:r w:rsidR="00000000" w:rsidRPr="00000000" w:rsidDel="00000000">
        <w:rPr>
          <w:i w:val="1"/>
          <w:rtl w:val="0"/>
        </w:rPr>
        <w:t xml:space="preserve">euro</w:t>
      </w:r>
      <w:r w:rsidR="00000000" w:rsidRPr="00000000" w:rsidDel="00000000">
        <w:rPr>
          <w:rtl w:val="0"/>
        </w:rPr>
        <w:t xml:space="preserve">, tai skaitā Eiropas Reģionālās attīstības fonda finansējums – 17 564 072 </w:t>
      </w:r>
      <w:r w:rsidR="00000000" w:rsidRPr="00000000" w:rsidDel="00000000">
        <w:rPr>
          <w:i w:val="1"/>
          <w:rtl w:val="0"/>
        </w:rPr>
        <w:t xml:space="preserve">euro </w:t>
      </w:r>
      <w:r w:rsidR="00000000" w:rsidRPr="00000000" w:rsidDel="00000000">
        <w:rPr>
          <w:rtl w:val="0"/>
        </w:rPr>
        <w:t xml:space="preserve">un nacionālais finansējums (valsts budžeta finansējums) – 3 099 543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pirmajai atlases kārtai – 17 063 615 </w:t>
      </w:r>
      <w:r w:rsidR="00000000" w:rsidRPr="00000000" w:rsidDel="00000000">
        <w:rPr>
          <w:i w:val="1"/>
          <w:rtl w:val="0"/>
        </w:rPr>
        <w:t xml:space="preserve">euro</w:t>
      </w:r>
      <w:r w:rsidR="00000000" w:rsidRPr="00000000" w:rsidDel="00000000">
        <w:rPr>
          <w:rtl w:val="0"/>
        </w:rPr>
        <w:t xml:space="preserve">, tai skaitā Eiropas Reģionālās attīstības fonda finansējums – 14 504 072 </w:t>
      </w:r>
      <w:r w:rsidR="00000000" w:rsidRPr="00000000" w:rsidDel="00000000">
        <w:rPr>
          <w:i w:val="1"/>
          <w:rtl w:val="0"/>
        </w:rPr>
        <w:t xml:space="preserve">euro</w:t>
      </w:r>
      <w:r w:rsidR="00000000" w:rsidRPr="00000000" w:rsidDel="00000000">
        <w:rPr>
          <w:rtl w:val="0"/>
        </w:rPr>
        <w:t xml:space="preserve"> un nacionālais finansējums (valsts budžeta līdzfinansējums) – 2 559 543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otrajai atlases kārtai – 3 600 000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3 060 000 </w:t>
      </w:r>
      <w:r w:rsidR="00000000" w:rsidRPr="00000000" w:rsidDel="00000000">
        <w:rPr>
          <w:i w:val="1"/>
          <w:rtl w:val="0"/>
        </w:rPr>
        <w:t xml:space="preserve">euro</w:t>
      </w:r>
      <w:r w:rsidR="00000000" w:rsidRPr="00000000" w:rsidDel="00000000">
        <w:rPr>
          <w:rtl w:val="0"/>
        </w:rPr>
        <w:t xml:space="preserve"> un nacionālais finansējums (valsts budžeta līdzfinansējums) – 540 000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projektu iesniedzēji, kas pēc sadarbības iestādes lēmuma par projekta iesnieguma apstiprināšanu kļūst par finansējuma saņēmējiem, un tiem pieejamais maksimālais attiecināmo izmaksu apmērs, lai slēgtu līgumu un vienošanos par projekta īstenošanu,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Biomedicīnas pētījumu un studiju centram –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Nacionālajam veselības dienestam – 3 500 000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Neatliekamās medicīniskās palīdzības dienestam –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sabiedrībai ar ierobežotu atbildību "Latvijas Digitālās veselības centrs" – 6 563 615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Slimību profilakses un kontroles centram – 1 200 000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inspekcijai – 2 500 000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sabiedrībai ar ierobežotu atbildību "Latvijas Digitālās veselības centrs" – 3 600 000 </w:t>
      </w:r>
      <w:r w:rsidR="00000000" w:rsidRPr="00000000" w:rsidDel="00000000">
        <w:rPr>
          <w:i w:val="1"/>
          <w:rtl w:val="0"/>
        </w:rPr>
        <w:t xml:space="preserve">euro.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minētie pirmās atlases kārtas projekta iesniedzēji var iesniegt vienu vai vairākus projekta iesniegumus, nepārsniedzot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minēto katram projekta iesniedzējam pieejamo maksimālo attiecināmo izmaksu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sasniegtu projekta iesniegumā noteiktos mērķus,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minētais projekta iesniedzējs par sadarbības partneri var piesaistīt citu tiešās pārvaldes iestādi, valsts kapitālsabiedrību vai atvasinātu publisku personu, kas veic deleģēto pārvaldes uzdevumu.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projekta īstenošanā var piesaistīt vienu vai vairākus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minētos sadarbības partnerus. Projekta iesniedzējs atbilstoši normatīvajiem aktiem par kārtību, kādā Eiropas Savienības fondu vadībā iesaistītās institūcijas nodrošina šo fondu ieviešanu 2021.–2027. gada plānošanas periodā, slēdz sadarbības līgumus ar sadarbības partneriem, kontrolē to izpildi un novērš dubultā finansējuma riskus. Sadarbības līgumā iekļauj vismaz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to apjoms;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partnerim paredzētais finansējums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kārtība un termiņi.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var pretendēt uz Eiropas Reģionālās attīstības fonda finansējuma saņemšanu, ja par projekta ietvaros izveidojamo, attīstāmo vai pilnveidojamo informācijas un komunikācijas tehnoloģiju sistēmu ir saņemts pozitīvs Viedās administrācijas un reģionālās attīstības ministrijas (turpmāk – valsts informācijas un komunikācijas tehnoloģiju pārvaldības organizācija)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sistēmas izveides, attīstības vai pilnveides aktivitāšu aprakstam, izņemot 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otrās atlases kārtas 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iesniegumu atlase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minētajiem projekta iesniedzējiem tiek organizēta šādā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piecu darbdienu laikā informē atbildīgo iestādi par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minētā atzinuma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šo noteikumu </w:t>
      </w:r>
      <w:r w:rsidR="00000000" w:rsidRPr="00000000" w:rsidDel="00000000">
        <w:rPr>
          <w:rtl w:val="0"/>
        </w:rPr>
        <w:t xml:space="preserve">19.1.</w:t>
      </w:r>
      <w:r w:rsidR="00000000" w:rsidRPr="00000000" w:rsidDel="00000000">
        <w:rPr>
          <w:rtl w:val="0"/>
        </w:rPr>
        <w:t xml:space="preserve"> apakšpunktā</w:t>
      </w:r>
      <w:r w:rsidR="00000000" w:rsidRPr="00000000" w:rsidDel="00000000">
        <w:rPr>
          <w:rtl w:val="0"/>
        </w:rPr>
        <w:t xml:space="preserve"> minētās informācijas saņemšanas piecu darbdienu laikā paziņo sadarbības iestādei par projekta iesniedzēja gatavību iesniegt projekta iesniegumu;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 pēc informācijas saņemšanas no atbildīgās iestādes nosūta projekta iesniedzējam uzaicinājumu iesniegt projekta iesniegumu.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kopā ar sadarbības partneriem (ja attiecināms) sagatavo projekta iesniegumu atbilstoši projektu iesniegumu atlases nolikumā noteiktajām prasībām un iesniedz to sadarbības iestādē, izmantojot Kohēzijas politikas fondu vadības informācijas sistēmu, tai skaitā projekta iesniedzējs un sadarbības partneri (ja attiecināms)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kura projekta kopējās izmaksas, ieskaitot pievienotās vērtības nodokli, pārsniedz 1 000 000 </w:t>
      </w:r>
      <w:r w:rsidR="00000000" w:rsidRPr="00000000" w:rsidDel="00000000">
        <w:rPr>
          <w:i w:val="1"/>
          <w:rtl w:val="0"/>
        </w:rPr>
        <w:t xml:space="preserve">euro</w:t>
      </w:r>
      <w:r w:rsidR="00000000" w:rsidRPr="00000000" w:rsidDel="00000000">
        <w:rPr>
          <w:rtl w:val="0"/>
        </w:rPr>
        <w:t xml:space="preserve">, atbilstoši sadarbības iestādes izstrādātajiem metodiskajiem norādījumiem veic izmaksu un ieguvumu analīzi un pievieno to projekta iesniegumam, izņemot 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minēto otrās atlases kārtas ietvaros īstenoto projektu. Veicot izmaksu un ieguvumu analīzi, projekta iesniedzējs nodrošina, ka aprēķinātā projekta ekonomiskā ienesīguma norma ir lielāka par sociālo diskonta likmi un projekta ekonomiskā neto pašreizējā vērtība ir lielāka par nulli.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minēto projektu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nozares datu digitalizācija un apmaiņa, attīstot veselības nozares valsts informācijas sistēmas un platformas, tai skaitā uz lietotāju orientētas jaunas funkcionalitātes, lai veicinātu veselības datu pieejamību efektīvākai veselības nozares pakalpojumu sniegšanai un saņemšanai;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cilvēku centrētu veselības jomas digitālo pakalpojumu attīstība un telemedicīnas risinājumu ieviešana;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analītikas risinājumu izstrāde;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mākslīgā intelekta un mašīnmācīšanās tehnoloģijās balstītu tehnoloģisko risinājumu attīstība un integrācija veselības nozares valsts platformās un pakalpojumos;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digitālās infrastruktūras pilnveidošana, pielāgojot to pārrobežu pakalpojumu sniegšanai atbilstoši vienotās digitālās vārtejas prasībām un Eiropas Parlamenta un Padomes 2018. gada 2. oktobra Regulai (ES) Nr.  </w:t>
      </w:r>
      <w:r w:rsidR="00000000" w:rsidRPr="00000000" w:rsidDel="00000000">
        <w:rPr>
          <w:rtl w:val="0"/>
        </w:rPr>
        <w:t xml:space="preserve">2018/1724</w:t>
      </w:r>
      <w:r w:rsidR="00000000" w:rsidRPr="00000000" w:rsidDel="00000000">
        <w:rPr>
          <w:rtl w:val="0"/>
        </w:rPr>
        <w:t xml:space="preserve">, ar ko izveido vienotu digitālo vārteju, lai sniegtu piekļuvi informācijai, procedūrām un palīdzības un problēmu risināšanas pakalpojumiem, un ar ko groza Regulu (ES) Nr. 1024/2012, kā arī digitālo pakalpojumu pieejamības uzlabojumi;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risinājumi veselības nozares valsts informācijas sistēmu kiberdrošības stiprināšanai;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 projekta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metodiska atbalsta un ekspertīzes sniegšana veselības aprūpes jomas informācijas un komunikācijas tehnoloģiju arhitektūras izstrādei un pārvaldībai informācijas un komunikācijas tehnoloģiju sistēmu risinājumu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aprūpes jomas informācijas un komunikācijas tehnoloģiju arhitektūras pārvaldība, nodrošinot integrētu publisko pakalpojumu sniegšanas, piekļūstamības un galalietotāju vajadzību uzraudzību;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vienotās veselības nozares elektroniskās informācijas sistēmas (turpmāk – e-veselības sistēma) attīstības uzraudzība, tai skaitā šī pasākuma ietvaros attīstāmo valsts informācijas sistēmu attīstības pārraudzība, lai nodrošinātu to funkcionālo saskaņotību ar e-veselības sistēmu;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digitālās veselības risinājumu izmantošanas veicināšana sabiedrībā, īstenojot mācību, informatīvos un publicitātes pasākumus;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nozares valsts informācijas un komunikācijas tehnoloģiju risinājumu kiberdrošības pārvaldība un uzraudzība;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 atbalstāmo darbību ietvaros ir attiecināmas šādas projekta 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minētajiem finansējuma saņēmējiem – projekta vadības un īstenošanas personāla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20 procentu apmērā no projekta tiešajām attiecināmajām izmaksām, bet neieskaitot tiešās projekta vadības un īstenošanas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tai skaitā izmaksu un ieguvumu analīzes sagatavošanas izmaksas (izņemot projekta iesnieguma veidlapas aizpildīšanas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izstrādātās vai pilnveidojamās informācijas sistēmas audita un drošības pārbaužu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ieviešanas dokumentācijas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procesu, biznesa un/vai lietotāju prasību specifikāciju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izstrādes vai iegādes iepirkuma tehniskās specifikācijas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infrastruktūras un/vai ražotāja sērijveida programmatūras iegādes tehniskās specifikācijas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informācijas sistēmas vai esošas informācijas sistēmas jaunas funkcionalitātes projektēšanas, izstrādes vai iegādes un datu pārvaldības risinājumu ieviešanas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programmatūras izstrādes izmaksas, tai skaitā izvēlētai izstrādes metodoloģijai atbilstošas dokumentācijas izstrādes izmaksas un integrācijas saskarņu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programmatūras licenču iegādes izmaksas, ja maksas programmatūras produkta vai programmatūras komponentes izmantošanas lietderība ir pamatota un saskaņota atbilstoši normatīvajiem aktiem valsts informācijas sistēmu vispārējo tehnisko prasību jomā, tai skaitā licenču atjauninājumu izmaksas licenču darbības periodā, kas nepārsniedz projekta īstenošanas laiku;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importa vai migrācijas izmaksas (tai skaitā datu semantiskās un tehniskās savietojamības nodrošināšanas izmaksas, datu strukturēšanas un datu bagātināšanas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resursu digitalizācijas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kvalitātes audita un auditā konstatēto nepieciešamo uzlabojumu veikšanas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pielāgošana informācijas un komunikācijas tehnoloģiju ārpakalpojumu izmantošanai, tai skaitā informācijas sistēmas konfigurēšanas izmaksas un izmaksas, kas saistītas ar informācijas sistēmas darbināšanai izmantojamo ārpakalpojumu specificēšanu, konfigurēšanu un pielāgošanu;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izmaksas, tai skaitā testēšanas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risinājuma koda attīrīšanas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sagatavošanas izmaksas centralizētai koplietošanas pārvaldībai un datu publicēšana atkalizmantošanai, tai skaitā specializētu datu kolekciju izveide, pakalpojumu datu kontekstualizēšana;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komunikācijas tehnoloģiju infrastruktūras pakalpojumu izmaksas projekta īstenošanas nodrošinājumam,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mākoņdatošanas un saistīto pakalpojumu izmaksas informācijas sistēmu izstrādes un ieviešanas nodrošināšanai projekta īstenošanas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lietojumprogrammatūras risinājumu īres un saistīto pakalpojumu izmaksas projekta ietvaros īstenojamo risinājumu ieviešanai un aprobācijai projekta īstenošanas laikā, ievērojot saimnieciskā izdevīguma principu;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 centru un skaitļošanas infrastruktūras tehniskās infrastruktūras un tās darbināšanai nepieciešamās ražotāja sērijveida programmatūras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masīvu iekārtas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iegādes izmaksas, tai skaitā licenču un uzturēšanas atbalsta atjauninājumu izmaksas licenču vai programmatūras darbības periodā, kas nepārsniedz projekta īstenošanas laiku;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infrastruktūras un ražotāja sērijveida programmatūras uzstādīšanas un konfigurēšanas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pārraides tīklu iekārtu iegādes izmaksas datu savienojumu vai datu transformācijas pieslēguma nodrošināšanai loģiski vienotajam datu centram vai loģiski vienotā datu centra pakalpojumu nodrošināšanai;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specializētu tehnoloģisko risinājumu un iekārtu sagādes un pielāgošanas izmaksas, kas radušās, projekta īstenošanas ietvaros aprīkojot valsts pārvaldes institūciju ar tehnoloģiskiem risinājumiem un iekārtām, kas nodrošina iespējas īstenot digitāli transformētus pārvaldes procesus;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ietvaros izveidoto vai pilnveidoto informācijas un komunikācijas tehnoloģiju risinājumu un atvērto datu izmantošanas veicināšanas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informatīvo un publicitātes pasākumu izmaksas, lai ieviešamo informācijas un komunikācijas tehnoloģiju risinājumu administratori un lietotāji, kuri, izmantojot informācijas sistēmu, sniedz attiecīgus pakalpojumus, varētu nodrošināt risinājumu ieviešanu un pilnvērtīgu lietošanu;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programmatūras lietotāja un administratora lietošanas atbalsta materiālu, tai skaitā interaktīvu materiālu un rokasgrāmatu,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saņēmējiem un sadarbības partneriem projekta mērķu un rādītāju sasniegšanai nepieciešamās informācijas un komunikācijas tehnoloģiju aparatūras un iekārtu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atbalstāmo darbību ietvaros ir attiecināmas šādas projekta 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nepārsniedzot ierobežojumu, ko aprēķina, pie minimālo izmaksu bāzes 34 422 </w:t>
      </w:r>
      <w:r w:rsidR="00000000" w:rsidRPr="00000000" w:rsidDel="00000000">
        <w:rPr>
          <w:i w:val="1"/>
          <w:rtl w:val="0"/>
        </w:rPr>
        <w:t xml:space="preserve">euro </w:t>
      </w:r>
      <w:r w:rsidR="00000000" w:rsidRPr="00000000" w:rsidDel="00000000">
        <w:rPr>
          <w:rtl w:val="0"/>
        </w:rPr>
        <w:t xml:space="preserve">kalendāra gadā pieskaitot 0,64 % no projekta tiešajām attiecināmajām izmaksām, bet neieskaitot tiešās projekta vadības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atbalstāmo darbību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 </w:t>
      </w:r>
      <w:r w:rsidR="00000000" w:rsidRPr="00000000" w:rsidDel="00000000">
        <w:rPr>
          <w:rtl w:val="0"/>
        </w:rPr>
        <w:t xml:space="preserve">apakšpunktā</w:t>
      </w:r>
      <w:r w:rsidR="00000000" w:rsidRPr="00000000" w:rsidDel="00000000">
        <w:rPr>
          <w:rtl w:val="0"/>
        </w:rPr>
        <w:t xml:space="preserve"> minēto atbalstāmo darbību īstenošanai. Ārvalstu komandējumu izmaksas aprēķina un atlīdzina saskaņā ar normatīvo aktu par kārtību, kādā atlīdzināmi ar komandējumiem saistītie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aprūpes jomas informācijas un komunikācijas tehnoloģiju arhitektūras izstrādes un pārvaldības izmaksas, tai skaitā izmaksas, kas saistītas ar metodiskā atbalsta un ekspertīzes sniegšanu, informācijas un komunikācijas tehnoloģiju risinājumu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aprūpes jomas informācijas un komunikācijas tehnoloģiju arhitektūras pārraudzības izmaksas, nodrošinot integrētu publisko pakalpojumu sniegšanas, piekļūstamības un galalietotāju vajadzību uzraudzību;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e-veselības sistēmas attīstības uzraudzības izmaksas, tai skaitā šī pasākuma ietvaros attīstāmo valsts informācijas sistēmu attīstības pārraudzības izmaksas, lai nodrošinātu to funkcionālo saskaņotību ar e-veselības sistēmu;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saistītas ar starptautisko standartu specifikāciju, metodisko materiālu un piekļuves tiesību iegādes un darbinieku mācību nodrošināšanu;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valsts veselības nozares informācijas un komunikācijas tehnoloģiju risinājumu izmantošanas veicināšanu, tai skaitā mācību, informatīvo un publicitātes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veselības nozares informācijas un komunikācijas tehnoloģiju sistēmu kiberdrošības pārvaldības un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pasākumu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Personāla atlīdzības izmaksas ir atbilstošas finansējuma saņēmēja iestādes atlīdzības sistēmā noteiktajai samaksai par līdzvērtīga darba veikšanu vai atbilstošas vidējai darba samaksai saskaņā ar Latvijas Republikas Centrālās statistikas pārvaldes datiem par līdzvērtīgu darbu attiecīgajā nozarē.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un īstenošanas personāla administratīvās izmaksas, un tās plāno kā vienu izmaksu pozīciju, piemērojot netiešo izmaksu vienoto likmi 15 procentu apmērā no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minēto atbalstāmo darbību īstenošanai ir attiecināmas neparedzētās izmaksas līdz trim procentiem no projekta kopējām tiešajām attiecināmajām izmaksām, ko projekta iesniegumā plāno kā vienu izmaksu pozīciju un izmanto papildu īstenošanas izmaksu segšanai, kas neparedzamu apstākļu dēļ ir kļuvušas nepieciešamas projekta īstenošanai. Neparedzēto izdevumu izlietošanu pirms izdevumu veikšanas finansējuma saņēmējs saskaņo ar sadarbības iestādi, kā to nosaka vienošanās vai līgums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ne agrāk par 2023. gada 15. augustu. Projekts nedrīkst būt pabeigts pirms projekta iesnieguma iesniegšanas sadarbības iestādē.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Pasākuma 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vai līgumu par projekta īstenošanu,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Īstenojot projektu,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minētie finansējuma saņēmēji un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minētie sadarbības partneri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faktiski sasniegto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rādītāju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skaitu par informācijas tehnoloģiju risinājumiem, informācijas tehnoloģiju piekļūstamību personām ar dažādiem funkcionāliem traucējumiem;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digitālo pakalpojumu vai programmu skaitu, kur ir veikta informācijas pielāgošana specifisku lietotāju grupām (personām ar redzes, dzirdes un garīga rakstura traucējumiem);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izmaksas pieaug, projekta sadārdzinājumu sedz no saviem līdzekļiem;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 nosacījumus, kā tas pārliecinās par interešu konflikta, krāpšanas un korupcijas risku neesību,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22.8.</w:t>
      </w:r>
      <w:r w:rsidR="00000000" w:rsidRPr="00000000" w:rsidDel="00000000">
        <w:rPr>
          <w:rtl w:val="0"/>
        </w:rPr>
        <w:t xml:space="preserve"> un </w:t>
      </w:r>
      <w:r w:rsidR="00000000" w:rsidRPr="00000000" w:rsidDel="00000000">
        <w:rPr>
          <w:rtl w:val="0"/>
        </w:rPr>
        <w:t xml:space="preserve">23.7.</w:t>
      </w:r>
      <w:r w:rsidR="00000000" w:rsidRPr="00000000" w:rsidDel="00000000">
        <w:rPr>
          <w:rtl w:val="0"/>
        </w:rPr>
        <w:t xml:space="preserve"> apakšpunktā</w:t>
      </w:r>
      <w:r w:rsidR="00000000" w:rsidRPr="00000000" w:rsidDel="00000000">
        <w:rPr>
          <w:rtl w:val="0"/>
        </w:rPr>
        <w:t xml:space="preserve"> minētos komunikācijas un vizuālās identitātes prasību nodrošināšanas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dubultā finansējuma neiestāšanos un 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 finansējuma saņēmēja rakstisku avansa pieprasījumu, var piešķirt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avansu pēc tam, kad ir noslēgts līgums vai vienošanās par projekta īstenošanu.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minētais finansējuma saņēmējs avansa pieprasījumu sagatavo un sadarbības iestāde to apstiprina, ņemot vērā nosacījumu, ka plānotā avansa apmērs atbilst spējai to izlietot sešu mēnešu laikā.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13.1.4.</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avansu var piešķirt līdz 30 procentiem no projektam piešķirtā Eiropas Reģionālās attīstības fonda finansējuma un valsts budžeta līdzfinansējuma kopsummas, ievērojot, ka avansu var izmaksāt vairākos maksājumos un avansa un starpposma maksājumu kopsumma nepārsniedz 100 procentus no projektam piešķirtā Eiropas Reģionālās attīstības fonda un valsts budžeta līdzfinansējuma kopsummas.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minētie finansējuma saņēmēji un to sadarbības partneri (ja attiecināms) nodrošina projekta rezultātu ilgtspēju, tai skaitā projekta ietvaros izveidoto un ieviesto informācijas un komunikācijas tehnoloģiju risinājumu darbību vismaz piecus gadus pēc noslēguma maksājuma veikšanas.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minētie finansējuma saņēmēji un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minētie sadarbības partneri nodrošina, ka projekta pabeigšanas brīdī projekta ietvaros izveidotā vai attīstītā informācijas sistēma vai izveidotais vai pilnveidotais elektroniskais pakalpojums ir ieviests produktīvajā darbībā atbilstoši apstiprinātajam projekta iesniegumam.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Informācijas sistēmas izstrādātājs saņem no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minētā finansējuma saņēmēja noslēguma maksājumu, kas nevar būt mazāks par 20 procentiem no informācijas sistēmas vai tās izmaiņu, platformas vai elektroniskā pakalpojuma izstrādes līgumcenas, tikai pēc tam, kad ir parakstīts nodošanas un pieņemšanas akts par informācijas un komunikācijas tehnoloģiju risinājuma vai tā izmaiņu izstrādi un ieviešanu un finansējuma saņēmējs ir pārliecinājies, ka izstrādātā informācijas sistēma, platforma vai elektroniskais pakalpojums atbilst iepirkuma līgumā ietvertajiem uzdevumiem.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Nozares ministrija, kuras padotībā atrodas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minētie finansējuma saņēmēji vai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minētie sadarbības partneri, nodrošina, lai līdz projekta īstenošanas noslēgumam būtu apstiprināts tiesiskais regulējums, kas nosaka projekta ietvaros izveidotās vai attīstītās informācijas sistēmas, platformas vai izveidotā elektroniskā pakalpojuma darbību un lietošanu.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Preču un pakalpojumu sniegšanas garantiju iekļauj līguma priekšmeta cenā un atsevišķi neizdala kā izmaksu pozīciju. Minēto garantiju paredz, lai novērstu līguma priekšmeta neatbilstības, kas radušās ražotāja vai pakalpojuma sniedzēja vainas dēļ, un garantijas termiņš ir ne ilgāks kā trīs gadi.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Izstrādātājs nodod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minētajam finansējuma saņēmējam projekta ietvaros izstrādātās vai pielāgotās informācijas sistēmas vai platformas programmatūras dokumentētu pirmkodu un autora mantiskās tiesības vai licencē šo programmatūru finansējuma saņēmējam, izmantojot kādu no atvērtā pirmkoda licencēm, un finansējuma saņēmējs projekta ietvaros izstrādātās vai pielāgotās programmatūras dokumentētu pirmkodu publicē publiski pieejamā programmatūras koda repozitorijā, izņemot gadījumus, kas saskaņoti ar valsts informācijas un komunikācijas tehnoloģiju pārvaldības organizāciju.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projekta plānošanai un īstenošanas kontrolei izveido vadības un kontroles komisiju un reizi ceturksnī organizē pārskata sanāksmes par projektu progresu, uz kurām uzaicina atbildīgās iestādes un sadarbības iestādes pārstāvjus.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minētie finansējuma saņēmēji un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minētie sadarbības partneri (ja attiecināms) publiskos iepirkumus veic atklātā, pārredzamā, nediskriminējošā, konkurenci nodrošinošā un, kur attiecināms, pēc iespējas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26-TA-824</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26-TA-824</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noteikumu_konsolidētā_versija_26-TA-824.docx</dc:title>
</cp:coreProperties>
</file>

<file path=docProps/custom.xml><?xml version="1.0" encoding="utf-8"?>
<Properties xmlns="http://schemas.openxmlformats.org/officeDocument/2006/custom-properties" xmlns:vt="http://schemas.openxmlformats.org/officeDocument/2006/docPropsVTypes"/>
</file>