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center"/>
        <w:spacing w:before="480" w:beforeAutospacing="0"/>
        <w:spacing w:after="240" w:afterAutospacing="0"/>
        <w:spacing w:lineRule="auto" w:line="240"/>
        <w:pBdr/>
        <w:rPr>
          <w:sz w:val="24"/>
          <w:b w:val="1"/>
          <w:rtl w:val="0"/>
        </w:rPr>
      </w:pPr>
      <w:r w:rsidR="00000000" w:rsidRPr="00000000" w:rsidDel="00000000">
        <w:rPr>
          <w:sz w:val="24"/>
          <w:b w:val="1"/>
          <w:rtl w:val="0"/>
        </w:rPr>
        <w:t xml:space="preserve"/>
      </w:r>
      <w:r w:rsidR="00000000" w:rsidRPr="00000000" w:rsidDel="00000000">
        <w:rPr>
          <w:sz w:val="24"/>
          <w:b w:val="1"/>
          <w:rtl w:val="0"/>
        </w:rPr>
        <w:t xml:space="preserve">Sēde</w:t>
      </w:r>
    </w:p>
    <w:p w:rsidP="00000000" w:rsidRDefault="00000000" w:rsidR="00000000" w:rsidRPr="00000000" w:rsidDel="00000000">
      <w:pPr>
        <w:contextualSpacing w:val="0"/>
        <w:jc w:val="center"/>
        <w:spacing w:after="240" w:afterAutospacing="0"/>
        <w:spacing w:lineRule="auto" w:line="240"/>
        <w:pBdr/>
        <w:rPr>
          <w:sz w:val="24"/>
          <w:b w:val="1"/>
          <w:rtl w:val="0"/>
        </w:rPr>
      </w:pPr>
      <w:r w:rsidR="00000000" w:rsidRPr="00000000" w:rsidDel="00000000">
        <w:rPr>
          <w:sz w:val="24"/>
          <w:b w:val="1"/>
          <w:rtl w:val="0"/>
        </w:rPr>
        <w:t xml:space="preserve"/>
      </w:r>
      <w:r w:rsidR="00000000" w:rsidRPr="00000000" w:rsidDel="00000000">
        <w:rPr>
          <w:sz w:val="24"/>
          <w:b w:val="1"/>
          <w:rtl w:val="0"/>
        </w:rPr>
        <w:t xml:space="preserve">Protokola izraksts</w:t>
      </w:r>
    </w:p>
    <w:tbl>
      <w:tblPr>
        <w:tblStyle w:val="DefaultTable"/>
        <w:bidiVisual w:val="0"/>
        <w:tblW w:w="9642.0" w:type="dxa"/>
        <w:tblInd w:w="0.0" w:type="dxa"/>
        <w:jc w:val="left"/>
        <w:tblLayout w:type="fixed"/>
        <w:tblLook w:val="0600"/>
      </w:tblPr>
      <w:tblGrid>
        <w:gridCol w:w="4821"/>
        <w:gridCol w:w="4821"/>
        <w:tblGridChange w:id="0">
          <w:tblGrid>
            <w:gridCol w:w="4821"/>
            <w:gridCol w:w="48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gada 25. augustā</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Nr. 48</w:t>
            </w:r>
          </w:p>
        </w:tc>
      </w:tr>
    </w:tbl>
    <w:p w:rsidP="00000000" w:rsidRDefault="00000000" w:rsidR="00000000" w:rsidRPr="00000000" w:rsidDel="00000000">
      <w:pPr>
        <w:contextualSpacing w:val="0"/>
        <w:jc w:val="center"/>
        <w:spacing w:before="240" w:beforeAutospacing="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66. §</w:t>
      </w:r>
    </w:p>
    <w:p w:rsidP="00000000" w:rsidRDefault="00000000" w:rsidR="00000000" w:rsidRPr="00000000" w:rsidDel="00000000">
      <w:pPr>
        <w:pStyle w:val="bold_paragraph_header"/>
        <w:contextualSpacing w:val="0"/>
        <w:spacing w:lineRule="auto" w:line="240"/>
        <w:pBdr/>
      </w:pPr>
      <w:r w:rsidR="00000000" w:rsidRPr="00000000" w:rsidDel="00000000">
        <w:rPr>
          <w:rStyle w:val="bold_paragraph_header"/>
          <w:rtl w:val="0"/>
        </w:rPr>
        <w:t xml:space="preserve"/>
      </w:r>
      <w:r w:rsidR="00000000" w:rsidRPr="00000000" w:rsidDel="00000000">
        <w:rPr>
          <w:rtl w:val="0"/>
        </w:rPr>
        <w:t xml:space="preserve">Informatīvais ziņojums "Par Vēlēšanu platformas pilnveidi referendumu un tautas nobalsošanas nodrošināšanai"</w:t>
      </w:r>
    </w:p>
    <w:p w:rsidP="00000000" w:rsidRDefault="00000000" w:rsidR="00000000" w:rsidRPr="00000000" w:rsidDel="00000000">
      <w:pPr>
        <w:contextualSpacing w:val="0"/>
        <w:jc w:val="left"/>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26-TA-1984 (IP)</w:t>
      </w:r>
    </w:p>
    <w:p w:rsidP="00000000" w:rsidRDefault="00000000" w:rsidR="00000000" w:rsidRPr="00000000" w:rsidDel="00000000">
      <w:pPr>
        <w:contextualSpacing w:val="0"/>
        <w:jc w:val="center"/>
        <w:spacing w:after="240" w:afterAutospacing="0"/>
        <w:spacing w:lineRule="auto" w:line="240"/>
        <w:pBdr>
          <w:top w:color="000000" w:sz="10" w:val="single" w:space="1"/>
        </w:pBdr>
        <w:rPr>
          <w:sz w:val="24"/>
          <w:rtl w:val="0"/>
        </w:rPr>
      </w:pPr>
      <w:r w:rsidR="00000000" w:rsidRPr="00000000" w:rsidDel="00000000">
        <w:rPr>
          <w:sz w:val="24"/>
          <w:rtl w:val="0"/>
        </w:rPr>
        <w:t xml:space="preserve"/>
      </w:r>
      <w:r w:rsidR="00000000" w:rsidRPr="00000000" w:rsidDel="00000000">
        <w:rPr>
          <w:sz w:val="24"/>
          <w:rtl w:val="0"/>
        </w:rPr>
        <w:t xml:space="preserve">(</w:t>
      </w:r>
      <w:r w:rsidR="00000000" w:rsidRPr="00000000" w:rsidDel="00000000">
        <w:rPr>
          <w:sz w:val="24"/>
          <w:rtl w:val="0"/>
        </w:rPr>
        <w:t xml:space="preserve">E. Tavars, G. Ozols, M. Zviedris, M. Kučinskis)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Atbalstīt Publisko iepirkumu likuma 3. panta astotajā daļā paredzētā izņēmuma piemērošanu Vēlēšanu platformas referendumu un tautas nobalsošanas funkcionalitātes pilnveides darbu veikšanai un programmizstrādes darbus nodot SIA "Latvijas Mobilais Telefons", bet ar tiem saistīto kiberdrošības testēšanu – SIA "TET".</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 Atbalstīt Vēlēšanu platformas referendumu un tautas nobalsošanas funkcionalitātes izstrādi Valsts digitālās attīstības aģentūras īstenotā Eiropas Savienības Atveseļošanas un noturības mehānisma plāna investīcijas 2.1.2.1.i. "Centralizētās platformas un sistēmas" projekta Nr. 2.1.2.1.i.0/2/24/I/CFLA/005 "Pašvaldību vēlēšanu un referendumu IS funkcionalitātes pilnveide" ietvaros, šim mērķim paredzot finansējumu 363 000</w:t>
      </w:r>
      <w:r w:rsidR="00000000" w:rsidRPr="00000000" w:rsidDel="00000000">
        <w:rPr>
          <w:i w:val="1"/>
          <w:rtl w:val="0"/>
        </w:rPr>
        <w:t xml:space="preserve"> euro </w:t>
      </w:r>
      <w:r w:rsidR="00000000" w:rsidRPr="00000000" w:rsidDel="00000000">
        <w:rPr>
          <w:rtl w:val="0"/>
        </w:rPr>
        <w:t xml:space="preserve">apmērā ar PVN (300 000 </w:t>
      </w:r>
      <w:r w:rsidR="00000000" w:rsidRPr="00000000" w:rsidDel="00000000">
        <w:rPr>
          <w:i w:val="1"/>
          <w:rtl w:val="0"/>
        </w:rPr>
        <w:t xml:space="preserve">euro</w:t>
      </w:r>
      <w:r w:rsidR="00000000" w:rsidRPr="00000000" w:rsidDel="00000000">
        <w:rPr>
          <w:rtl w:val="0"/>
        </w:rPr>
        <w:t xml:space="preserve"> bez PVN). Nepieciešamā finansējuma nodrošināšanai veikt finansējuma pārdales projekta Nr. 2.1.2.1.i.0/2/24/I/CFLA/005 "Pašvaldību vēlēšanu un referendumu IS funkcionalitātes pilnveide" ietvaros no aktivitātēm, kurās izveidojies ietaupījums, 273 164 </w:t>
      </w:r>
      <w:r w:rsidR="00000000" w:rsidRPr="00000000" w:rsidDel="00000000">
        <w:rPr>
          <w:i w:val="1"/>
          <w:rtl w:val="0"/>
        </w:rPr>
        <w:t xml:space="preserve">euro</w:t>
      </w:r>
      <w:r w:rsidR="00000000" w:rsidRPr="00000000" w:rsidDel="00000000">
        <w:rPr>
          <w:rtl w:val="0"/>
        </w:rPr>
        <w:t xml:space="preserve"> apmērā, tai skaitā Atveseļošanas fonda finansējums 225 755 </w:t>
      </w:r>
      <w:r w:rsidR="00000000" w:rsidRPr="00000000" w:rsidDel="00000000">
        <w:rPr>
          <w:i w:val="1"/>
          <w:rtl w:val="0"/>
        </w:rPr>
        <w:t xml:space="preserve">euro </w:t>
      </w:r>
      <w:r w:rsidR="00000000" w:rsidRPr="00000000" w:rsidDel="00000000">
        <w:rPr>
          <w:rtl w:val="0"/>
        </w:rPr>
        <w:t xml:space="preserve">un valsts budžeta finansējums pievienotās vērtības nodokļa izmaksu segšanai 47 409 </w:t>
      </w:r>
      <w:r w:rsidR="00000000" w:rsidRPr="00000000" w:rsidDel="00000000">
        <w:rPr>
          <w:i w:val="1"/>
          <w:rtl w:val="0"/>
        </w:rPr>
        <w:t xml:space="preserve">euro</w:t>
      </w:r>
      <w:r w:rsidR="00000000" w:rsidRPr="00000000" w:rsidDel="00000000">
        <w:rPr>
          <w:rtl w:val="0"/>
        </w:rPr>
        <w:t xml:space="preserve">, kā arī veikt finansējuma pārdali no projekta Nr. 2.1.2.1.i.0/2/24/I/CFLA/003 "Atvieglojumu pārvaldības pakalpojuma pilnveide un ieviešanas atbalsts", kurā izveidojies ietaupījums, 89 836</w:t>
      </w:r>
      <w:r w:rsidR="00000000" w:rsidRPr="00000000" w:rsidDel="00000000">
        <w:rPr>
          <w:i w:val="1"/>
          <w:rtl w:val="0"/>
        </w:rPr>
        <w:t xml:space="preserve"> euro</w:t>
      </w:r>
      <w:r w:rsidR="00000000" w:rsidRPr="00000000" w:rsidDel="00000000">
        <w:rPr>
          <w:rtl w:val="0"/>
        </w:rPr>
        <w:t xml:space="preserve"> apmērā, tai skaitā Atveseļošanas fonda finansējums 74 245 </w:t>
      </w:r>
      <w:r w:rsidR="00000000" w:rsidRPr="00000000" w:rsidDel="00000000">
        <w:rPr>
          <w:i w:val="1"/>
          <w:rtl w:val="0"/>
        </w:rPr>
        <w:t xml:space="preserve">euro</w:t>
      </w:r>
      <w:r w:rsidR="00000000" w:rsidRPr="00000000" w:rsidDel="00000000">
        <w:rPr>
          <w:rtl w:val="0"/>
        </w:rPr>
        <w:t xml:space="preserve"> un valsts budžeta finansējums pievienotās vērtības nodokļa izmaksu segšanai 15 591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digitālās attīstības aģentūrai sadarbībā ar Centrālo vēlēšanu komisiju sagatavot un Viedās administrācijas un reģionālās attīstības ministrijai līdz 2026. gada 1. oktobrim noteiktā kārtībā iesniegt izskatīšanai Ministru kabinetā informatīvo ziņojumu par Vēlēšanu platformas turpmākās attīstības un uzturēšanas ilgtermiņa redzējumu, ietverot tajā Vēlēšanu platformas turpmākās attīstības un uzturēšanas risinājumus un izvērtējumu par konkrētu Valsts digitālās attīstības aģentūras kompetencē esošu pārvaldes uzdevumu Vēlēšanu platformas uzturēšanas un attīstības jomā deleģēšanu kapitālsabiedrībām ar būtisku valsts līdzdalību Valsts pārvaldes iekārtas likumā noteiktajā kārtībā.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Viedās administrācijas un reģionālās attīstības ministrijai sagatavot un noteiktā kārtībā iesniegt izskatīšanai Ministru kabinetā informatīvajā ziņojumā minētās finansējuma pārdales īstenošanai nepieciešamos grozījumus Ministru kabineta 2022. gada 14. jūlija noteikumos Nr. 435 un pēc minēto grozījumu spēkā stāšanās – nepieciešamos grozījumus Ministru kabineta rīkojumos, ar kuriem apstiprinātas finansējuma pārdalē iesaistīto projektu pases.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
            </w:r>
            <w:r w:rsidR="00000000" w:rsidRPr="00000000" w:rsidDel="00000000">
              <w:rPr>
                <w:sz w:val="24"/>
                <w:rtl w:val="0"/>
              </w:rPr>
              <w:t xml:space="preserve">Ministru prezidenta pienākumu izpildītājs ‒ 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sz w:val="20"/>
                <w:rtl w:val="0"/>
              </w:rPr>
            </w:pPr>
            <w:r w:rsidR="00000000" w:rsidRPr="00000000" w:rsidDel="00000000">
              <w:rPr>
                <w:sz w:val="20"/>
                <w:rtl w:val="0"/>
              </w:rPr>
              <w:t xml:space="preserve"/>
            </w:r>
            <w:r w:rsidR="00000000" w:rsidRPr="00000000" w:rsidDel="00000000">
              <w:rPr>
                <w:sz w:val="20"/>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rPr>
                <w:sz w:val="24"/>
                <w:rtl w:val="0"/>
              </w:rPr>
            </w:pPr>
            <w:r w:rsidR="00000000" w:rsidRPr="00000000" w:rsidDel="00000000">
              <w:rPr>
                <w:sz w:val="24"/>
                <w:rtl w:val="0"/>
              </w:rPr>
              <w:t xml:space="preserve"/>
            </w:r>
            <w:r w:rsidR="00000000" w:rsidRPr="00000000" w:rsidDel="00000000">
              <w:rPr>
                <w:sz w:val="24"/>
                <w:rtl w:val="0"/>
              </w:rPr>
              <w:t xml:space="preserve">M. Kučinskis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
            </w:r>
            <w:r w:rsidR="00000000" w:rsidRPr="00000000" w:rsidDel="00000000">
              <w:rPr>
                <w:sz w:val="24"/>
                <w:rtl w:val="0"/>
              </w:rPr>
              <w:t xml:space="preserve">Valsts kancelejas direktora pienākumu izpildītāja, direktora vietniece tiesību aktu lietās, Juridiskā departamenta vadītāja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sz w:val="20"/>
                <w:rtl w:val="0"/>
              </w:rPr>
            </w:pPr>
            <w:r w:rsidR="00000000" w:rsidRPr="00000000" w:rsidDel="00000000">
              <w:rPr>
                <w:sz w:val="20"/>
                <w:rtl w:val="0"/>
              </w:rPr>
              <w:t xml:space="preserve"/>
            </w:r>
            <w:r w:rsidR="00000000" w:rsidRPr="00000000" w:rsidDel="00000000">
              <w:rPr>
                <w:sz w:val="20"/>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rPr>
                <w:sz w:val="24"/>
                <w:rtl w:val="0"/>
              </w:rPr>
            </w:pPr>
            <w:r w:rsidR="00000000" w:rsidRPr="00000000" w:rsidDel="00000000">
              <w:rPr>
                <w:sz w:val="24"/>
                <w:rtl w:val="0"/>
              </w:rPr>
              <w:t xml:space="preserve"/>
            </w:r>
            <w:r w:rsidR="00000000" w:rsidRPr="00000000" w:rsidDel="00000000">
              <w:rPr>
                <w:sz w:val="24"/>
                <w:rtl w:val="0"/>
              </w:rPr>
              <w:t xml:space="preserve">I. Gailīte</w:t>
            </w:r>
          </w:p>
        </w:tc>
      </w:tr>
    </w:tbl>
    <w:p w:rsidP="00000000" w:rsidRDefault="00000000" w:rsidR="00000000" w:rsidRPr="00000000" w:rsidDel="00000000">
      <w:pPr>
        <w:contextualSpacing w:val="0"/>
        <w:ind w:left="705"/>
        <w:spacing w:before="720" w:beforeAutospacing="0"/>
        <w:spacing w:lineRule="auto" w:line="240"/>
        <w:pBdr/>
        <w:rPr>
          <w:sz w:val="20"/>
          <w:rtl w:val="0"/>
        </w:rPr>
      </w:pPr>
      <w:r w:rsidR="00000000" w:rsidRPr="00000000" w:rsidDel="00000000">
        <w:rPr>
          <w:sz w:val="20"/>
          <w:rtl w:val="0"/>
        </w:rPr>
        <w:t xml:space="preserve"/>
      </w:r>
      <w:r w:rsidR="00000000" w:rsidRPr="00000000" w:rsidDel="00000000">
        <w:rPr>
          <w:sz w:val="20"/>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Protokollēmums 26-TA-1984</w:t>
    </w:r>
    <w:r>
      <w:br/>
    </w:r>
    <w:r w:rsidR="00000000" w:rsidRPr="00000000" w:rsidDel="00000000">
      <w:rPr>
        <w:rtl w:val="0"/>
      </w:rPr>
      <w:t xml:space="preserve">Izdrukāts 31.08.2026. 17.03 - 1.0.VK Protokollēmums</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spacing w:lineRule="auto" w:line="320"/>
      <w:contextualSpacing w:val="0"/>
      <w:jc w:val="center"/>
      <w:rPr/>
    </w:pPr>
    <w:r w:rsidR="00000000" w:rsidRPr="00000000" w:rsidDel="00000000">
      <w:drawing>
        <wp:inline distR="101600" distT="101600" distB="101600" distL="101600">
          <wp:extent cx="1019174" cy="952500"/>
          <wp:effectExtent t="0" b="0" r="0" l="0"/>
          <wp:docPr id="1" name="media/image1.png"/>
          <a:graphic>
            <a:graphicData uri="http://schemas.openxmlformats.org/drawingml/2006/picture">
              <pic:pic>
                <pic:nvPicPr>
                  <pic:cNvPr id="1" name="media/image1.png"/>
                  <pic:cNvPicPr/>
                </pic:nvPicPr>
                <pic:blipFill>
                  <a:blip r:embed="rId1"/>
                  <a:srcRect/>
                  <a:stretch>
                    <a:fillRect/>
                  </a:stretch>
                </pic:blipFill>
                <pic:spPr>
                  <a:xfrm>
                    <a:ext cx="1019174" cy="952500"/>
                  </a:xfrm>
                  <a:prstGeom prst="rect"/>
                  <a:ln/>
                </pic:spPr>
              </pic:pic>
            </a:graphicData>
          </a:graphic>
        </wp:inline>
      </w:drawing>
    </w:r>
    <w:r w:rsidR="00000000" w:rsidRPr="00000000" w:rsidDel="00000000">
      <w:rPr>
        <w:rtl w:val="0"/>
      </w:rPr>
    </w:r>
  </w:p>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Protokollēmums 26-TA-1984</w:t>
    </w:r>
    <w:r>
      <w:br/>
    </w:r>
    <w:r w:rsidR="00000000" w:rsidRPr="00000000" w:rsidDel="00000000">
      <w:rPr>
        <w:rtl w:val="0"/>
      </w:rPr>
      <w:t xml:space="preserve">Izdrukāts 31.08.2026. 17.03 - 1.0.VK Protokollēmums</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word/_rels/header2.xml.rels><?xml version="1.0" encoding="UTF-8" standalone="yes"?>
<Relationships xmlns="http://schemas.openxmlformats.org/package/2006/relationships"><Relationship Target="media/image1.png" Type="http://schemas.openxmlformats.org/officeDocument/2006/relationships/image" Id="rId1"/></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protokollēmums_26-TA-1984.docx</dc:title>
</cp:coreProperties>
</file>

<file path=docProps/custom.xml><?xml version="1.0" encoding="utf-8"?>
<Properties xmlns="http://schemas.openxmlformats.org/officeDocument/2006/custom-properties" xmlns:vt="http://schemas.openxmlformats.org/officeDocument/2006/docPropsVTypes"/>
</file>