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likumā „Par sociālo drošību”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Izteikt 2.</w:t>
      </w:r>
      <w:r w:rsidR="00000000" w:rsidRPr="00000000" w:rsidDel="00000000">
        <w:rPr>
          <w:vertAlign w:val="superscript"/>
          <w:rtl w:val="0"/>
        </w:rPr>
        <w:t xml:space="preserve">2</w:t>
      </w:r>
      <w:r w:rsidR="00000000" w:rsidRPr="00000000" w:rsidDel="00000000">
        <w:rPr>
          <w:rtl w:val="0"/>
        </w:rPr>
        <w:t xml:space="preserve"> panta otro un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Minimālo ienākumu slieksnis nav zemāks par 20 procentiem no Centrālās statistikas pārvaldes publicētās minimālā ienākuma mediānas mēnesī. Līdz kārtējā gada 1. februārim Centrālās statistikas pārvalde tīmekļvietnē publicē aktuālo minimālā ienākuma mediānu mēnesī un tā tiek ņemta par pamatu, nosakot minimālo ienākumu sliekšņa apmēru nākamajam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Minimālo ienākumu sliekšņus pārskata vienlaikus katra gada 1. janvārī, ņemot vērā aktuālo minimālā ienākuma mediānu mēnesī. Ja pārskata gadā aktuālā minimālā ienākumu mediāna nemainās vai samazinās, minimālo ienākumu sliekšņi paliek iepriekš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22-TA-2078</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22-TA-2078</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likumprojekts_(grozījumi)_22-TA-2078.docx</dc:title>
</cp:coreProperties>
</file>

<file path=docProps/custom.xml><?xml version="1.0" encoding="utf-8"?>
<Properties xmlns="http://schemas.openxmlformats.org/officeDocument/2006/custom-properties" xmlns:vt="http://schemas.openxmlformats.org/officeDocument/2006/docPropsVTypes"/>
</file>