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Maksājumu pakalpojumu un elektroniskās naudas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Maksājumu pakalpojumu un elektroniskās naudas likumā (Latvijas Vēstnesis, 2010, 43. nr.; 2011, 52., 85. nr.; 2013, 128., 187. nr.; 2014, 92. nr.; 2015, 248. nr.; 2016, 108., 241. nr.; 2017, 54., 222. nr.; 2018, 132. nr.; 2019, 75., 228. nr.; 2020, 123. nr.; 2021, 193. nr.; 2023, 226.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38. panta pirmās daļas 1.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būtu nošķirta no citu tādu personu naudas, kuras nav maksājumu pakalpojumu izmantotāji, kā vārdā nauda tiek turēta. Naudu, kuru nākamās darba dienas beigās pēc tās saņemšanas dienas maksājumu iestāde vēl nav ieskaitījusi saņēmēja kontā vai nosūtījusi citam maksājumu pakalpojumu sniedzējam, tā ieskaita atsevišķā kontā kredītiestādē vai centrālajā bankā, ja tā sniedz šādu pakalpojumu, vai iegulda drošos, likvīdos, zema riska aktīvos, kurus par tādiem uzskata atbilstoši Latvijas Bankas noteikumiem;”.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54., 55. un 55.</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56. pantu ar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Par Eiropas Parlamenta un Padomes 2012. gada 4.marta regulas Nr. 260/2012, ar ko nosaka tehniskās un darbības prasības kredīta pārvedumiem un tiešā debeta maksājumiem </w:t>
      </w:r>
      <w:r w:rsidR="00000000" w:rsidRPr="00000000" w:rsidDel="00000000">
        <w:rPr>
          <w:i w:val="1"/>
          <w:rtl w:val="0"/>
        </w:rPr>
        <w:t xml:space="preserve">euro</w:t>
      </w:r>
      <w:r w:rsidR="00000000" w:rsidRPr="00000000" w:rsidDel="00000000">
        <w:rPr>
          <w:rtl w:val="0"/>
        </w:rPr>
        <w:t xml:space="preserve"> un groza regulu (EK) Nr. 924/2009 (Dokuments attiecas uz EEZ) 5.d pantā noteikto prasību pārkāpumiem Latvijas Banka ir tiesīga piemērot šādas sankcijas: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uzlikt juridiskajai personai soda naudu līdz 10 procentiem no kopējā gada apgrozījuma saskaņā ar minētās juridiskās personas pēdējo pieejamo revidēto gada pārskatu. Ja maksājumu pakalpojumu sniedzējs ir mātes sabiedrības meitas sabiedrība, attiecīgais kopējais gada apgrozījums ir kopējais gada apgrozījums vai atbilstoša veida ienākumi saskaņā ar attiecīgajiem normatīvajiem aktiem un pēdējiem pieejamiem konsolidētajiem pārskatiem, kurus apstiprinājusi galvenā mātes sabiedrības vadības struktūra;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uzlikt fiziskai personai soda naudu līdz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VI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“VI1 Iestādes dalība maksājumu sistēmās un piekļuve kredītiestādes sniegtajiem maksājumu konta pakalpojumiem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pants. Reģistrētiem maksājumu pakalpojumu sniedzējiem – juridiskajām personām – Latvijā funkcionējošās maksājumu sistēmas nodrošina objektīvus, nediskriminējošus un samērīgus piekļuves (dalības) nosacījumus. Maksājumu sistēmām nav tiesību ierobežot piekļuvi sistēmai (dalību sistēmā) vairāk, nekā tas pamatoti nepieciešams, lai aizsargātu sistēmu pret norēķina, operacionālajiem un komercdarbības riskiem vai nodrošinātu sistēmas operacionālo vai finansiālo stabilitāti.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pants. (1) Latvijā funkcionējošām maksājumu sistēmām nav atļauts noteikt maksājumu pakalpojumu sniedzējiem, maksājumu pakalpojumu izmantotājiem vai citām maksājumu sistēmām nevienu no šādiem nosacījumiem: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ierobežojošus nosacījumus attiecībā uz faktisku dalību citās maksājumu sistēmās;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nosacījumu, kas savstarpēji diskriminē licenci saņēmušos maksājumu pakalpojumu sniedzējus vai reģistrētus maksājumu pakalpojumu sniedzējus attiecībā uz to tiesībām un pienākumiem;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nosacījumu, kas ietver ierobežojumu, kura pamatā ir iestādes statuss.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pirmo daļu un šā likuma 56.</w:t>
      </w:r>
      <w:r w:rsidR="00000000" w:rsidRPr="00000000" w:rsidDel="00000000">
        <w:rPr>
          <w:vertAlign w:val="superscript"/>
          <w:rtl w:val="0"/>
        </w:rPr>
        <w:t xml:space="preserve">1</w:t>
      </w:r>
      <w:r w:rsidR="00000000" w:rsidRPr="00000000" w:rsidDel="00000000">
        <w:rPr>
          <w:rtl w:val="0"/>
        </w:rPr>
        <w:t xml:space="preserve"> panta noteikumus nepiemēro maksājumu sistēmām, kas aptver tikai tādus maksājumu pakalpojumu sniedzējus, kuri ietilpst vienā komercsabiedrību grupā.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likumā “Par norēķinu galīgumu maksājumu un finanšu instrumentu norēķinu sistēmās” noteiktās maksājumu sistēmas noteikumi to paredz, un sistēmas dalībnieks nodrošina iespēju maksājumu pakalpojumu sniedzējam, kas nav sistēmas dalībnieks, veikt pārskaitījumus caur sistēmu, dalībniekam ir pienākums šādu iespēju nodrošināt arī citam maksājumu pakalpojumu sniedzējam objektīvā, samērīgā un nediskriminējošā veidā atbilstoši šā likuma 56.</w:t>
      </w:r>
      <w:r w:rsidR="00000000" w:rsidRPr="00000000" w:rsidDel="00000000">
        <w:rPr>
          <w:vertAlign w:val="superscript"/>
          <w:rtl w:val="0"/>
        </w:rPr>
        <w:t xml:space="preserve">1</w:t>
      </w:r>
      <w:r w:rsidR="00000000" w:rsidRPr="00000000" w:rsidDel="00000000">
        <w:rPr>
          <w:rtl w:val="0"/>
        </w:rPr>
        <w:t xml:space="preserve"> pantā noteiktajam.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šā panta trešajā daļā minētās sistēmas dalībnieks iestādei liedz pārskaitījumu veikšanu caur attiecīgo sistēmu, tas pamato iestādei savu atteikumu.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 pants. (1) Dalībvalstī licencēta iestāde, kas ir vai vēlas kļūt par likumā “Par norēķinu galīgumu maksājumu un finanšu instrumentu norēķinu sistēmās” noteiktās maksājumu sistēmas dalībnieku, nodrošina: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pasākumus, lai aizsargātu maksājumu pakalpojumu izmantotāju naudu;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2022. gada 14. decembra regulas (ES) Nr. 2022/2554 par finanšu nozares digitālās darbības noturību un ar ko groza regulas (EK) Nr. 1060/2009, (ES) Nr. 648/2012, (ES) Nr. 600/2014, (ES) Nr. 909/2014 un (ES) 2016/1011 (Dokuments attiecas uz EEZ) 6. un 7. panta prasībām atbilstošus, samērīgus, piemērotus, pareizus un pietiekamus pārvaldības pasākumus un iekšējās kontroles mehānismus attiecībā uz maksājumu pakalpojumiem vai elektroniskās naudas pakalpojumiem, ko tā plāno sniegt vai sniedz, tostarp administratīvās, risku pārvaldības un grāmatvedības procedūras, un informācijas un komunikācijas tehnoloģiju pakalpojumu izmantošanas kārtību;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aktuālu likvidācijas plānu neizdošanās gadījumā, kas ir atbilstošs iestādes paredzētajam lielumam un biznesa modelim, un ietver risku mazināšanas pasākumus, ko iestāde ir paredzējusi veikt savu maksājumu pakalpojumu izbeigšanas gadījumā, tai skaitā, lai nodrošinātu nepabeigto maksājumu izpildi un spēkā esošo līgumu izbeigšanu.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pirmās daļas 1. punkta izpildei iestāde:</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tā maksājumu pakalpojumu izmantotāju naudu aizsargā, noguldot tos atsevišķā kontā kredītiestādē vai ieguldot drošos, likvīdos zema riska aktīvos, tā: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nodrošina tādu ieguldījumu politiku, ka izvēlētie aktīvi ir likvīdi, droši un zema riska;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nosaka personu loku, kam ir piekļuve šajā punktā minētajam aizsardzību nodrošinošajam kontam, un viņu funkcijas;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nodrošina, ka maksājumu pakalpojumu izmantotāju nauda netiek iekļauta tajā iestādes mantā, no kuras tiek segti citu šīs iestādes kreditoru prasījumi, īpaši iestādes maksātnespējas gadījumā;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ir noslēgusi līgumu ar kredītiestādi par konta apkalpošanu.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tā maksājumu pakalpojumu izmantotāju naudu aizsargā ar apdrošinātāja vai kredītiestādes izsniegtu galvojuma apdrošināšanas polisi vai citu garantiju, tā: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nodrošina, ka izvēlētais apdrošinātājs vai kredītiestāde neietilpst vienā komercsabiedrību grupā ar iestādi;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nodrošina, ka apdrošināšanas polise vai cita atbilstošā garantija ir pietiekama, lai nosegtu iestādes saistības jebkurā brīdī;</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ir noslēgusi apdrošināšanas vai citas atbilstošas garantijas līgumu ar atbilstošu seguma termiņu un atjaunošanas noteikumiem.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pirmās daļas 2. punktā minētie pārvaldības un iekšējās kontroles mehānismi ietver:</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iestādes risku identificēšanas pasākumus un identificēto risku novērtēšanas un novēršanas pasākumus;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procedūras periodisko un pastāvīgo kontroļu veikšanai, norādot to biežumu un atvēlētos cilvēkresursus;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grāmatvedības procedūras, ar kurām iestāde reģistrē un paziņo savu finanšu informāciju;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tās personas vai personu identitāti, kas ir atbildīgas par iekšējās kontroles funkcijām, tostarp par periodisko, pastāvīgo un atbilstības kontroli;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informāciju par revidentu, kas nav zvērināts revidents Revīzijas pakalpojumu likuma izpratnē;</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informāciju par vadības struktūru un citas pārraudzības struktūras vai komitejas sastāvu, ja tādas ir;</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g) informāciju par to, kā tiek uzraudzītas un kontrolētas ārpakalpojumu sniedzējiem uzticētās funkcijas, lai izvairītos no iestādes iekšējās kontroles kvalitātes pasliktināšanās;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 informāciju par to, kā iestādes iekšējās kontroles ietvaros tiek veikta pārstāvju un filiāļu uzraudzība un kontrole;</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ja iestāde ir citas dalībvalsts regulētas komercsabiedrības meitas sabiedrība, grupas pārvaldības aprakstu.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4</w:t>
      </w:r>
      <w:r w:rsidR="00000000" w:rsidRPr="00000000" w:rsidDel="00000000">
        <w:rPr>
          <w:rtl w:val="0"/>
        </w:rPr>
        <w:t xml:space="preserve"> pants. Licencēta iestāde, kas vēlas kļūt par likumā “Par norēķinu galīgumu maksājumu un finanšu instrumentu norēķinu sistēmās” noteiktās maksājumu sistēmas dalībnieku, iesniedz sistēmas operatoram savas uzraudzības institūcijas apliecinājumu, ar kuru attiecīgā uzraudzības institūcija apliecina iestādes atbilstību šā likuma 56.</w:t>
      </w:r>
      <w:r w:rsidR="00000000" w:rsidRPr="00000000" w:rsidDel="00000000">
        <w:rPr>
          <w:vertAlign w:val="superscript"/>
          <w:rtl w:val="0"/>
        </w:rPr>
        <w:t xml:space="preserve">3</w:t>
      </w:r>
      <w:r w:rsidR="00000000" w:rsidRPr="00000000" w:rsidDel="00000000">
        <w:rPr>
          <w:rtl w:val="0"/>
        </w:rPr>
        <w:t xml:space="preserve"> pantā minētajām prasībām. Pēc sistēmas operatora pieprasījuma iestāde sniedz šādu apliecinājumu atkārtoti.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5</w:t>
      </w:r>
      <w:r w:rsidR="00000000" w:rsidRPr="00000000" w:rsidDel="00000000">
        <w:rPr>
          <w:rtl w:val="0"/>
        </w:rPr>
        <w:t xml:space="preserve"> pants. (1) Kredītiestādei ir pienākums nodrošināt iestādēm un valūtu tirdzniecības sabiedrībām objektīvu, samērīgu un nediskriminējošu piekļuvi kredītiestādes sniegtajiem maksājumu konta pakalpojumiem. Šāda piekļuve ir pietiekami plaša, lai iestāde un valūtu tirdzniecības sabiedrība spētu efektīvi un netraucēti sniegt maksājumu pakalpojumus, elektroniskās naudas pakalpojumus un valūtu tirdzniecības pakalpojumus.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Kredītiestāde nekavējoties, bet ne vēlāk kā piecu darba dienu laikā ziņo Latvijas Bankai par katru šā panta pirmajā daļā minētās piekļuves atteikumu, klāt pievienojot attiecīgu pamatojumu. Kredītiestāde šādu ziņojumu Latvijas Bankai nosūta elektroniskā veidā.”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46. un 47.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 Šā likuma 56. panta 2.</w:t>
      </w:r>
      <w:r w:rsidR="00000000" w:rsidRPr="00000000" w:rsidDel="00000000">
        <w:rPr>
          <w:vertAlign w:val="superscript"/>
          <w:rtl w:val="0"/>
        </w:rPr>
        <w:t xml:space="preserve">3</w:t>
      </w:r>
      <w:r w:rsidR="00000000" w:rsidRPr="00000000" w:rsidDel="00000000">
        <w:rPr>
          <w:rtl w:val="0"/>
        </w:rPr>
        <w:t xml:space="preserve"> daļa stājas spēkā 2025. gada 8. janvārī.</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Šā likuma 56.</w:t>
      </w:r>
      <w:r w:rsidR="00000000" w:rsidRPr="00000000" w:rsidDel="00000000">
        <w:rPr>
          <w:vertAlign w:val="superscript"/>
          <w:rtl w:val="0"/>
        </w:rPr>
        <w:t xml:space="preserve">3</w:t>
      </w:r>
      <w:r w:rsidR="00000000" w:rsidRPr="00000000" w:rsidDel="00000000">
        <w:rPr>
          <w:rtl w:val="0"/>
        </w:rPr>
        <w:t xml:space="preserve"> panta pirmās daļas 2. punkts stājas spēkā 2025. gada 17.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24-TA-698</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24-TA-698</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likumprojekts_(grozījumi)_24-TA-698.docx</dc:title>
</cp:coreProperties>
</file>

<file path=docProps/custom.xml><?xml version="1.0" encoding="utf-8"?>
<Properties xmlns="http://schemas.openxmlformats.org/officeDocument/2006/custom-properties" xmlns:vt="http://schemas.openxmlformats.org/officeDocument/2006/docPropsVTypes"/>
</file>