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Covid-19 infekcijas izplatības pārvaldības likuma atzīšanu par spēku zaudējušu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Atzīt par spēku zaudējušu Covid-19 infekcijas izplatības pārvaldības likumu (Latvijas Vēstnesis, 2020, 110.A, 140., 193., 211.A, 247.A nr.; 2021, 58., 63.A, 84.B, 102.B, 139., 215.A, 244.B nr.; 2022, 41.A, 57.A nr.).</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Covid-19 infekcijas izplatības pārvaldības likuma 10.</w:t>
      </w:r>
      <w:r w:rsidR="00000000" w:rsidRPr="00000000" w:rsidDel="00000000">
        <w:rPr>
          <w:vertAlign w:val="superscript"/>
          <w:rtl w:val="0"/>
        </w:rPr>
        <w:t xml:space="preserve">1 </w:t>
      </w:r>
      <w:r w:rsidR="00000000" w:rsidRPr="00000000" w:rsidDel="00000000">
        <w:rPr>
          <w:rtl w:val="0"/>
        </w:rPr>
        <w:t xml:space="preserve">panta otrā daļa, 10.</w:t>
      </w:r>
      <w:r w:rsidR="00000000" w:rsidRPr="00000000" w:rsidDel="00000000">
        <w:rPr>
          <w:vertAlign w:val="superscript"/>
          <w:rtl w:val="0"/>
        </w:rPr>
        <w:t xml:space="preserve">2</w:t>
      </w:r>
      <w:r w:rsidR="00000000" w:rsidRPr="00000000" w:rsidDel="00000000">
        <w:rPr>
          <w:rtl w:val="0"/>
        </w:rPr>
        <w:t xml:space="preserve">, 10.</w:t>
      </w:r>
      <w:r w:rsidR="00000000" w:rsidRPr="00000000" w:rsidDel="00000000">
        <w:rPr>
          <w:vertAlign w:val="superscript"/>
          <w:rtl w:val="0"/>
        </w:rPr>
        <w:t xml:space="preserve">3</w:t>
      </w:r>
      <w:r w:rsidR="00000000" w:rsidRPr="00000000" w:rsidDel="00000000">
        <w:rPr>
          <w:rtl w:val="0"/>
        </w:rPr>
        <w:t xml:space="preserve">, 18.</w:t>
      </w:r>
      <w:r w:rsidR="00000000" w:rsidRPr="00000000" w:rsidDel="00000000">
        <w:rPr>
          <w:vertAlign w:val="superscript"/>
          <w:rtl w:val="0"/>
        </w:rPr>
        <w:t xml:space="preserve">1</w:t>
      </w:r>
      <w:r w:rsidR="00000000" w:rsidRPr="00000000" w:rsidDel="00000000">
        <w:rPr>
          <w:rtl w:val="0"/>
        </w:rPr>
        <w:t xml:space="preserve">, 20., 36. pants, 38. panta pirmā, otrā, trešā un ceturtā daļa, 42. un 49.</w:t>
      </w:r>
      <w:r w:rsidR="00000000" w:rsidRPr="00000000" w:rsidDel="00000000">
        <w:rPr>
          <w:vertAlign w:val="superscript"/>
          <w:rtl w:val="0"/>
        </w:rPr>
        <w:t xml:space="preserve">7 </w:t>
      </w:r>
      <w:r w:rsidR="00000000" w:rsidRPr="00000000" w:rsidDel="00000000">
        <w:rPr>
          <w:rtl w:val="0"/>
        </w:rPr>
        <w:t xml:space="preserve">pants ir piemērojams līdz 2023. gada 31. decembrim.</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šā likuma spēkā stāšanos spēku zaudē </w:t>
      </w:r>
      <w:r w:rsidR="00000000" w:rsidRPr="00000000" w:rsidDel="00000000">
        <w:rPr>
          <w:rtl w:val="0"/>
        </w:rPr>
        <w:t xml:space="preserve">Ministru kabineta 2021. gada 28. septembra noteikumi Nr. 662 "Epidemioloģiskās drošības pasākumi Covid-19 infekcijas izplatības ierobežošanai"</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Pašvaldību saistošie noteikumi, kas izsludināti saskaņā ar Covid-19 infekcijas izplatības pārvaldības likuma 24. pantu, ir spēkā līdz 2023. gada 31. decembrim.</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kabinets līdz 2023. gada 31. decembrim izdod grozījumus </w:t>
      </w:r>
      <w:r w:rsidR="00000000" w:rsidRPr="00000000" w:rsidDel="00000000">
        <w:rPr>
          <w:rtl w:val="0"/>
        </w:rPr>
        <w:t xml:space="preserve">Ministru kabineta 2010. gada 30. novembra noteikumos Nr. 1082 "Kārtība, kādā piesakāmas A, B un C kategorijas piesārņojošas darbības un izsniedzamas atļaujas A un B kategorijas piesārņojošo darbību veikšanai"</w:t>
      </w:r>
      <w:r w:rsidR="00000000" w:rsidRPr="00000000" w:rsidDel="00000000">
        <w:rPr>
          <w:rtl w:val="0"/>
        </w:rPr>
        <w:t xml:space="preserve">, </w:t>
      </w:r>
      <w:r w:rsidR="00000000" w:rsidRPr="00000000" w:rsidDel="00000000">
        <w:rPr>
          <w:rtl w:val="0"/>
        </w:rPr>
        <w:t xml:space="preserve">Ministru kabineta 2016. gada 1. marta noteikumos Nr. 131 "Rūpniecisko avāriju riska novērtēšanas kārtība un riska samazināšanas pasākumi"</w:t>
      </w:r>
      <w:r w:rsidR="00000000" w:rsidRPr="00000000" w:rsidDel="00000000">
        <w:rPr>
          <w:rtl w:val="0"/>
        </w:rPr>
        <w:t xml:space="preserve">, </w:t>
      </w:r>
      <w:r w:rsidR="00000000" w:rsidRPr="00000000" w:rsidDel="00000000">
        <w:rPr>
          <w:rtl w:val="0"/>
        </w:rPr>
        <w:t xml:space="preserve">Ministru kabineta 2015. gada 13. janvāra noteikumos Nr. 18 "Kārtība, kādā novērtē paredzētās darbības ietekmi uz vidi un akceptē paredzēto darbību"</w:t>
      </w:r>
      <w:r w:rsidR="00000000" w:rsidRPr="00000000" w:rsidDel="00000000">
        <w:rPr>
          <w:rtl w:val="0"/>
        </w:rPr>
        <w:t xml:space="preserve">, </w:t>
      </w:r>
      <w:r w:rsidR="00000000" w:rsidRPr="00000000" w:rsidDel="00000000">
        <w:rPr>
          <w:rtl w:val="0"/>
        </w:rPr>
        <w:t xml:space="preserve">Ministru kabineta 2004. gada 23. marta noteikumos Nr. 157 "Kārtība, kādā veicams ietekmes uz vidi stratēģiskais novērtējums"</w:t>
      </w:r>
      <w:r w:rsidR="00000000" w:rsidRPr="00000000" w:rsidDel="00000000">
        <w:rPr>
          <w:rtl w:val="0"/>
        </w:rPr>
        <w:t xml:space="preserve"> un </w:t>
      </w:r>
      <w:r w:rsidR="00000000" w:rsidRPr="00000000" w:rsidDel="00000000">
        <w:rPr>
          <w:rtl w:val="0"/>
        </w:rPr>
        <w:t xml:space="preserve">Ministru kabineta 2011. gada 19. aprīļa noteikumos Nr. 300 "Kārtība, kādā novērtējama ietekme uz Eiropas nozīmes īpaši aizsargājamo dabas teritoriju (Natura 2000)"</w:t>
      </w:r>
      <w:r w:rsidR="00000000" w:rsidRPr="00000000" w:rsidDel="00000000">
        <w:rPr>
          <w:rtl w:val="0"/>
        </w:rPr>
        <w:t xml:space="preserve">, kas nepieciešami, lai nodrošinātu publiskās apspriešanas organizēšanu gan klātienes, gan neklātienes (tiešsaistes) formā, sākot ar 2024. gada 1. janvāri.</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Līdz 2023. gada 15. novembrim Covid-19 infekcijas izplatības pārvaldības likuma 25. pantā noteiktajā kārtībā iegādātos individuālos aizsardzības līdzekļus, kuri iegādāti ārkārtējās situācijas, kā arī Covid-19 infekcijas izplatības pārvaldības likuma darbības laikā, var nodot valsts iestāžu vai atvasinātu publisko personu un to iestāžu lietošanai arī citam mērķim, kas nav paredzēts valsts apdraudējuma novēršanai un pārvarēšanai Covid-19 infekcijas izplatības laikā, bet ir saistīts ar minēto iestāžu tiešo funkciju izpildes nodrošināšanu. Valsts aizsardzības loģistikas un iepirkumu centra vadītājs pieņem lēmumu par šajā punktā noteikto individuālo aizsardzības līdzekļu un 6. punktā noteikto individuālo aizsardzības līdzekļu, medicīnisko ierīču un to epidemioloģiskās drošības nodrošināšanas resursu nodošanu bez atlīdzības.</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Līdz 2023. gada 15. novembrim Covid-19 infekcijas izplatības pārvaldības likuma 25. pantā noteiktajā kārtībā iegādāto individuālo aizsardzības līdzekļu uzglabāšanu un izsniegšanu šā likuma pārejas noteikumu 5. punktā noteiktajam mērķim, kā arī individuālo aizsardzības līdzekļu, medicīnisko ierīču un to epidemioloģiskās drošības nodrošināšanas resursu, kuri iegādāti ārkārtējās situācijas, kā arī Covid-19 infekcijas izplatības pārvaldības likuma darbības laikā, izsniegšanu apgādes koordinatoriem, nodošanu bez atlīdzības Valsts ugunsdzēsības un glābšanas dienesta uzturētajā prioritāro institūciju un vajadzību sarakstā iekļautajām institūcijām, ja tie tiek izsniegti mērķim, kas paredzēts valsts apdraudējuma novēršanai un pārvarēšanai Covid-19 infekcijas izplatības laikā, nodrošina Valsts aizsardzības loģistikas un iepirkumu centrs.</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Veselības ministrija līdz 2023. gada 15. decembrim nodrošina visu Valsts aizsardzības loģistikas un iepirkumu centra noliktavā glabājamo individuālo aizsardzības līdzekļu, medicīnisko ierīču un to epidemioloģiskās drošības nodrošināšanas resursu, kuri iegādāti ārkārtējās situācijas, kā arī Covid-19 infekcijas izplatības pārvaldības likuma darbības laikā, pārņemšanu un pieņemšanu glabāšanā no Valsts aizsardzības loģistikas un iepirkumu centra.</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Tiesa lietas, kuru izskatīšana uzsākta līdz šā likuma spēkā stāšanās brīdim, turpina izskatīt atbilstoši tiesiskajam regulējumam, kas bija noteikts Covid-19 infekcijas izplatības pārvaldības likumā.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Līdz šā likuma spēkā stāšanās brīdim uzsāktos administratīvā pārkāpuma procesus par Covid-19 infekcijas izplatības pārvaldības likuma 50. panta pirmajā un trešajā daļā minētajiem administratīvajiem pārkāpumiem turpina veikt saskaņā ar Administratīvās atbildības likumā noteikto kārtību.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23-TA-1390</w:t>
    </w:r>
    <w:r>
      <w:br/>
    </w:r>
    <w:r w:rsidR="00000000" w:rsidRPr="00000000" w:rsidDel="00000000">
      <w:rPr>
        <w:rtl w:val="0"/>
      </w:rPr>
      <w:t xml:space="preserve">Izdrukāts 29.07.2026. 21.52 - 1.0.VK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23-TA-1390</w:t>
    </w:r>
    <w:r>
      <w:br/>
    </w:r>
    <w:r w:rsidR="00000000" w:rsidRPr="00000000" w:rsidDel="00000000">
      <w:rPr>
        <w:rtl w:val="0"/>
      </w:rPr>
      <w:t xml:space="preserve">Izdrukāts 29.07.2026. 21.52 - 1.0.VK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likumprojekts_23-TA-1390.docx</dc:title>
</cp:coreProperties>
</file>

<file path=docProps/custom.xml><?xml version="1.0" encoding="utf-8"?>
<Properties xmlns="http://schemas.openxmlformats.org/officeDocument/2006/custom-properties" xmlns:vt="http://schemas.openxmlformats.org/officeDocument/2006/docPropsVTypes"/>
</file>