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janvāra noteikumos Nr. 24 "Noteikumi par produktivitātes aizdevumiem uzņēmumu inovācijām" (Latvijas Vēstnesis, 2025, 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1.2.1. specifiskā atbalsta mērķa "Pētniecības un inovāciju kapacitātes stiprināšana un progresīvu tehnoloģiju ieviešana uzņēmumiem" 1.2.1.2. pasākumu "Produktivitātes aizdevumi uzņēmumu inovācijām"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"2.11.3. ja gala saņēmējs pretendē uz atbalstu saskaņā ar Komisijas regulu Nr. 651/2014, tas nav uzskatāms par grūtībās nonākušu komersantu saskaņā ar Komisijas regulas Nr. 651/2014 2. panta 18. punktu (vērtējot saistības grupas līmeni) un ir iesniedzis apliecinājumu, ka tam nav pasludināts projekta iesniedzēja maksātnespējas process, nav ierosināta tiesiskās aizsardzības procesa lieta vai netiek īstenots tiesiskās aizsardzības process, nav apturēta vai pārtraukta projekta iesniedzēja saimnieciskā darbība vai projekta iesniedzējs netiek likvidēts;".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"2.11.5. ja gala saņēmējs pretendē uz atbalstu saskaņā ar Komisijas regulu Nr. 651/2014, uz to (vērtējot saistības grupas līmeni) neattiecas neizpildīts līdzekļu atgūšanas rīkojums saskaņā ar iepriekšēju Komisijas lēmumu, ar ko atbalsts, kuru piešķīrusi tā pati dalībvalsts, atzīts par nelikumīgu un nesaderīgu ar kopējo tirgu, atbilstoši Komisijas regulas Nr. 651/2014 1. panta 4. punkta "a" un "b"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Pasākumam pieejamais un plānotais kopējais attiecināmais finansējums un pasākuma ietvaros sasniedzamie rādītāji līdz 2029. gada 31. decembrim ir noteikti saskaņā ar normatīvo aktu, kas nosaka Eiropas Savienības kohēzijas politikas programmas 2021.–2027. gadam ietvaros izmantojamo finanšu instrumentu īstenošanas kārtību, pieejamo finansējumu, atbalstāmās darbības un attiecināmās izmaksas.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Atbalsta piešķiršanas nosacījumi inovatīvu produktu izstrādei".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Atbalstu sniedz gala saņēmējiem, kuru projekti saskaņā ar šo noteikumu 2.8. apakšpunktā minētajiem nosacījumiem paredzēti inovatīvu produktu izstrādei vai duāla pielietojuma inovatīvu produktu izstrādei drošības un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Iesniedzot projekta pieteikumu atbalsta saņemšanai duāla pielietojuma inovatīva produkta izstrādei drošības un aizsardzības jomā, gala saņēmējs iesniedz arī Aizsardzības ministrijas atzinumu par pieteiktā produkta atbilstību prasībām attiecībā uz duāla pielietojuma inovatīvu produktu drošības un aizsardzības jomā. Lai nodrošinātu piešķirtā atbalsta atbilstību šiem noteikumiem, sabiedrībai "Altum" ir tiesības datus par komersantu un projektu nodot Aizsardzības ministrijai, savukārt Aizsardzības ministrijai ir tiesības datus par komersantu un projektu nodot sabiedrībai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Iesniedzot projekta pieteikumu atbalsta saņemšanai inovatīva produkta izstrādei, gala saņēmējs iesniedz arī Latvijas Zinātnes padomes atzinumu par pieteiktā produkta atbilstību prasībām attiecībā uz inovatīvu produktu. Latvijas Zinātnes padome 20 darbdienu laikā pēc gala saņēmēja iesnieguma saņemšanas izsniedz šo noteikumu 19. punktā minēto atzinumu.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ar materiālo aktīvu nomu saistītās izmaksas ir attiecināmas, ja ir ievēroti Komisijas regulas Nr. 651/2014 14. panta 5. un 6. punktā minētie nosacījumi un attiecībā uz zemi, ēkām un ražotni ar nomu un apbūvi saistītās tiesības ir nostiprinātas zemesgrāmatā (ja attiecināms) vai noma un apbūves tiesības mazajiem vidējas kapitalizācijas komersantiem un vidējas kapitalizācijas komersantiem ilgst vismaz piecus gadus vai vidējiem komersantiem vismaz trīs gadus pēc paredzētās investīciju projekta pabeigšanas dienas un ir spēkā visā aizdevuma līguma darbības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sākotnējie ieguldījumi būvniecībā vai nekustamā īpašuma iegādē ir attiecināmi tikai kompleksam investīciju projektam, kurā paredzēta arī iekārtu iegāde, ievērojot attiecināmo investīciju izmaksu proporciju līdz 40 procentiem būvniecībai un nekustamā īpašuma iegādei. Zemes iegādes izmaksas nedrīkst pārsniegt 10 procentus no atbalsta kopējā apmēra;".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Sākotnējie ieguldījumi pēc projekta pabeigšanas paliek Latvijā attiecīgajā atbalsta intensitātes kopējās statistiski teritoriālo vienību klasifikācijas (turpmāk – NUTS) 3. līmeņa reģionā (atbilstoši 2021. gada datiem), kurā tiek īstenots atbalstāmais projekts, vai paliek Latvijā jebkurā reģionā vismaz trīs gadus (sīkajiem (mikro), mazajiem vai vidējiem komersantiem) vai vismaz piecus gadus (mazas vidējas kapitalizācijas komersantiem vai vidējas kapitalizācijas komersantiem) atbilstoši Komisijas regulas Nr. 651/2014 14. panta 5. punkta nosacījumiem, ja atbalsts tiek piešķirts saskaņā ar šo noteikumu 27.2.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Sabiedrība "Altum" atbilstoši šo noteikumu 34. un 35. punktā minētajai informācijai, kas saņemta no Valsts ieņēmumu dienesta un Centrālās statistikas pārvaldes un saskaņota ar Ekonomikas ministriju, piemēro kapitāla atlaidi. Ekonomikas ministrija un sabiedrība “Altum” slēdz vienošanos par informācijas apmaiņu."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ja atbalstu paredzēts sniegt saskaņā ar šo noteikumu 21. punktu, - apliecinājums, ka šo noteikumu 12. punktā minētais projekta pieteikums atbilst Komisijas regulas Nr. 651/2014 6. panta 2. punktā ietvertajām prasībām par projekta pieteikumā iekļaujamo informāciju un ir iesniegts sabiedrībā "Altum" pirms darbu sākuma;".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"47.2.2. 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un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47.2.3.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"47.2.3. 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49.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52.4.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 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53.3.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53.4.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finanšu un apdrošināšanas darbībai (NACE 2.1. red. L sadaļa "Finanšu un apdrošināšanas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53.6.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 uzsāktu projektu īstenošanai, ja gala saņēmējs pretendē uz atbalstu saskaņā ar Komisijas regulu Nr. 651/2014;".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53.7.3.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"53.7.3. zemes iegādei, ja zemes iegādes maksa pārsniedz 10 procentus no atbalsta kopējā apmēra gala saņēmējam vai 15 procentus no atbalsta kopējā apmēra gala saņēmējam, ja zeme atrodas pamestā teritorijā vai bijušās rūpniecības teritorijā, kurā ir ēkas, saskaņā ar regulas 2021/1060 64. panta 1. punkta "b" apakšpunktu, ja atbalstu paredzēts sniegt saskaņā ar šo noteikumu 21.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53.12.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53.13.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"53.13. Komisijas regulas Nr. 651/2014 13. panta "a" punktā noteiktajām nozarēm atbilstoši Komisijas regulas Nr. 651/2014 2. panta 13., 43. un 43.a punktā noteiktajām definīcijām, ja gala saņēmējs pretendē uz atbalstu saskaņā ar Komisijas regulu Nr. 651/2014;".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53.14.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"53.14. Komisijas regulas Nr. 651/2014 13. panta "b" punktā noteiktajām nozarēm atbilstoši Komisijas regulas Nr. 651/2014 2. panta 45. un 130. punktā noteiktajām definīcijām un platjoslas tīkla attīstīšanai, ja gala saņēmējs pretendē uz atbalstu saskaņā ar Komisijas regulu Nr. 651/2014;".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53.15.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"53.15. zemes un nekustamā īpašuma iegādei un iekārtu uzstādīšanai (ja netiek veikta jaunas iekārtas iegāde), ja gala saņēmējs pretendē uz atbalstu saskaņā ar šo noteikumu 38.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58.3.1.1.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58.4.1.1.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58.4.1.2.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 58.4.2.1.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 58.4.2.2.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58.11.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 radītie rūpnieciskā īpašuma objekti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58.11.2.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58.11.4.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58.11.5.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58.11.6.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58.12.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58.13.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58.14.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Lēmumus par</w:t>
      </w:r>
      <w:r w:rsidR="00000000" w:rsidRPr="00000000" w:rsidDel="00000000">
        <w:rPr>
          <w:i w:val="1"/>
          <w:rtl w:val="0"/>
        </w:rPr>
        <w:t xml:space="preserve"> de minimis</w:t>
      </w:r>
      <w:r w:rsidR="00000000" w:rsidRPr="00000000" w:rsidDel="00000000">
        <w:rPr>
          <w:rtl w:val="0"/>
        </w:rPr>
        <w:t xml:space="preserve"> atbalsta piešķiršanu saskaņā ar šo noteikumu 30. vai 38. punktu var pieņemt līdz Komisijas regulas 2023/2831 darbības beigām, bet ne vēlāk kā līdz 2029. gada 31. decembrim, izņemot šo noteikumu 45.2. apakšpunktā minētajā gadījumā - līdz Komisijas regulas 2023/2831 darbības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25-TA-215</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25-TA-215</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noteikumu_(grozījumu)_projekts_25-TA-215.docx</dc:title>
</cp:coreProperties>
</file>

<file path=docProps/custom.xml><?xml version="1.0" encoding="utf-8"?>
<Properties xmlns="http://schemas.openxmlformats.org/officeDocument/2006/custom-properties" xmlns:vt="http://schemas.openxmlformats.org/officeDocument/2006/docPropsVTypes"/>
</file>