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ģimenes ārsta mājas vizītes pie šādām personu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3.6.3.2. personām, kurām noteikta I grupas invaliditāte;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3.6.3.3. personām, kas vecākas par 80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3.6.3.4. 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3.6.3.5. mājas apstākļos mirušām personām, lai konstatētu nāves faktu;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3.6.3.6. personām, kurām nepieciešama ilgstoša plaušu mākslīgā ventilācija;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3.6.3.7. personām, kas saņem mājas aprūpi atbilstoši šajos noteikumos noteiktajai kārtībai;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3.6.3.8. personām, kuras gripas epidēmijas laikā slimo ar gripu;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3.6.3.9. 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3.6.3.10. personām ar psihiskiem traucējumiem (saskaņā ar SSK-10 pamata diagnozes kodi F01, F20 un F73);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3.6.3.11. personām, kuras atrodas ilgstošas sociālās aprūpes un sociālās rehabilitācijas institūcijā;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3.6.3.12. personām, kuras slimo ar Covid-19 infekciju, ja ģimenes ārsts ir vienojies ar dienestu par šī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56.2.11.1.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"56.2.11.1. 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56.2.13.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"56.2.13. pie speciālistiem, kuri pakalpojumus sniedz garastāvokļa traucējumu kabinetā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153.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Dienests, aprēķinot manipulāciju tarifu, var piemērot šo noteikumu 153.1. un 153.2. apakšpunktā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203.1. valsts organizētā skrīninga izmeklējumus;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203.2. mikrobioloģiskos izmeklējumus tuberkulozes noteikšanai, ja paraugs paņemts pirms personas ievietošanas stacionārajā ārstniecības iestādē;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203.3. valsts apmaksātā skābekļa koncentratora nomu, ja pacientam skābekļa koncentrators izsniegts lietošanai mājās."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208.3.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 par stacionārajiem veselības aprūpes pakalpojumiem, aprēķinos iekļaujot: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208.3.1. samaksu par valsts apmaksātajiem veselības aprūpes pakalpojumiem atbilstoši faktiskajam apmaksājamo gultasdienu skaitam, šo noteikumu 151.6. un 151.7. apakšpunktā minētajiem valsts apmaksāto veselības aprūpes pakalpojumu samaksas veidiem un manipulāciju sarakstam;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208.3.2. valsts kompensēto pacienta līdzmaksājumu;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208.3.3. viena pacienta ārstēšanas vidējās izmaksas ārstniecības iestādes uzņemšanas nodaļā;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208.3.4. viena pacienta ārstēšanas vidējās izmaksas par tā observāciju (iekļauj, ja šāds pakalpojums nodrošināts);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208.3.5. apmaksāto rēķina summu (iekļauj, ja ārstniecības iestādei samaksa par sniegto pakalpojumu veikta atbilstoši šo noteikumu 7.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noteikumu_(grozījumu)_projekts_22-TA-2298.docx</dc:title>
</cp:coreProperties>
</file>

<file path=docProps/custom.xml><?xml version="1.0" encoding="utf-8"?>
<Properties xmlns="http://schemas.openxmlformats.org/officeDocument/2006/custom-properties" xmlns:vt="http://schemas.openxmlformats.org/officeDocument/2006/docPropsVTypes"/>
</file>