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2,642177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uz kārtējā gada 30. septembri par personu skaitu vecuma grupās un apmeklējumu skaitu pie ģimenes ārsta katrā vecuma grupā,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730,73 </w:t>
      </w:r>
      <w:r w:rsidR="00000000" w:rsidRPr="00000000" w:rsidDel="00000000">
        <w:rPr>
          <w:i w:val="1"/>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142,88 </w:t>
      </w:r>
      <w:r w:rsidR="00000000" w:rsidRPr="00000000" w:rsidDel="00000000">
        <w:rPr>
          <w:i w:val="1"/>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19. punktā minētajā gadījumā ir 142,88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i w:val="1"/>
          <w:rtl w:val="0"/>
        </w:rPr>
        <w:t xml:space="preserve">(Svītrots)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Šo noteikumu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Šo noteikumu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153.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teritorijā,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pilsētām un novadu pagastiem – 4,36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novadiem – 0,65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noteikumu_(grozījumu)_projekts_p4_22-TA-2298.docx</dc:title>
</cp:coreProperties>
</file>

<file path=docProps/custom.xml><?xml version="1.0" encoding="utf-8"?>
<Properties xmlns="http://schemas.openxmlformats.org/officeDocument/2006/custom-properties" xmlns:vt="http://schemas.openxmlformats.org/officeDocument/2006/docPropsVTypes"/>
</file>